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623D8" w14:textId="7858F0E3" w:rsidR="000F1E60" w:rsidRPr="000F1E60" w:rsidRDefault="000F1E60" w:rsidP="000F1E60">
      <w:pPr>
        <w:tabs>
          <w:tab w:val="right" w:pos="10080"/>
        </w:tabs>
        <w:spacing w:line="240" w:lineRule="auto"/>
        <w:rPr>
          <w:rFonts w:asciiTheme="majorHAnsi" w:eastAsia="Calibri" w:hAnsiTheme="majorHAnsi" w:cstheme="majorHAnsi"/>
          <w:color w:val="000000"/>
          <w:kern w:val="2"/>
          <w:sz w:val="24"/>
          <w:szCs w:val="24"/>
          <w:lang w:val="en-US"/>
          <w14:ligatures w14:val="standardContextual"/>
        </w:rPr>
      </w:pPr>
      <w:r w:rsidRPr="000F1E60">
        <w:rPr>
          <w:rFonts w:asciiTheme="majorHAnsi" w:eastAsia="Calibri" w:hAnsiTheme="majorHAnsi" w:cstheme="majorHAnsi"/>
          <w:color w:val="000000"/>
          <w:kern w:val="2"/>
          <w:sz w:val="24"/>
          <w:szCs w:val="24"/>
          <w:lang w:val="en-US"/>
          <w14:ligatures w14:val="standardContextual"/>
        </w:rPr>
        <w:t xml:space="preserve">Effective Date (original issue date): </w:t>
      </w:r>
      <w:r w:rsidR="00C369B5">
        <w:rPr>
          <w:rFonts w:asciiTheme="majorHAnsi" w:eastAsia="Calibri" w:hAnsiTheme="majorHAnsi" w:cstheme="majorHAnsi"/>
          <w:color w:val="000000"/>
          <w:kern w:val="2"/>
          <w:sz w:val="24"/>
          <w:szCs w:val="24"/>
          <w:lang w:val="en-US"/>
          <w14:ligatures w14:val="standardContextual"/>
        </w:rPr>
        <w:t>1</w:t>
      </w:r>
      <w:r w:rsidRPr="000F1E60">
        <w:rPr>
          <w:rFonts w:asciiTheme="majorHAnsi" w:eastAsia="Calibri" w:hAnsiTheme="majorHAnsi" w:cstheme="majorHAnsi"/>
          <w:color w:val="000000"/>
          <w:kern w:val="2"/>
          <w:sz w:val="24"/>
          <w:szCs w:val="24"/>
          <w:lang w:val="en-US"/>
          <w14:ligatures w14:val="standardContextual"/>
        </w:rPr>
        <w:t>2/</w:t>
      </w:r>
      <w:r w:rsidR="00D91981">
        <w:rPr>
          <w:rFonts w:asciiTheme="majorHAnsi" w:eastAsia="Calibri" w:hAnsiTheme="majorHAnsi" w:cstheme="majorHAnsi"/>
          <w:color w:val="000000"/>
          <w:kern w:val="2"/>
          <w:sz w:val="24"/>
          <w:szCs w:val="24"/>
          <w:lang w:val="en-US"/>
          <w14:ligatures w14:val="standardContextual"/>
        </w:rPr>
        <w:t>3/</w:t>
      </w:r>
      <w:r w:rsidRPr="000F1E60">
        <w:rPr>
          <w:rFonts w:asciiTheme="majorHAnsi" w:eastAsia="Calibri" w:hAnsiTheme="majorHAnsi" w:cstheme="majorHAnsi"/>
          <w:color w:val="000000"/>
          <w:kern w:val="2"/>
          <w:sz w:val="24"/>
          <w:szCs w:val="24"/>
          <w:lang w:val="en-US"/>
          <w14:ligatures w14:val="standardContextual"/>
        </w:rPr>
        <w:t>20</w:t>
      </w:r>
      <w:r w:rsidR="00C369B5">
        <w:rPr>
          <w:rFonts w:asciiTheme="majorHAnsi" w:eastAsia="Calibri" w:hAnsiTheme="majorHAnsi" w:cstheme="majorHAnsi"/>
          <w:color w:val="000000"/>
          <w:kern w:val="2"/>
          <w:sz w:val="24"/>
          <w:szCs w:val="24"/>
          <w:lang w:val="en-US"/>
          <w14:ligatures w14:val="standardContextual"/>
        </w:rPr>
        <w:t>19</w:t>
      </w:r>
      <w:r w:rsidRPr="000F1E60">
        <w:rPr>
          <w:rFonts w:asciiTheme="majorHAnsi" w:eastAsia="Calibri" w:hAnsiTheme="majorHAnsi" w:cstheme="majorHAnsi"/>
          <w:color w:val="000000"/>
          <w:kern w:val="2"/>
          <w:sz w:val="24"/>
          <w:szCs w:val="24"/>
          <w:lang w:val="en-US"/>
          <w14:ligatures w14:val="standardContextual"/>
        </w:rPr>
        <w:tab/>
        <w:t xml:space="preserve">Last Revision Date: </w:t>
      </w:r>
      <w:r w:rsidR="003825BD">
        <w:rPr>
          <w:rFonts w:asciiTheme="majorHAnsi" w:eastAsia="Calibri" w:hAnsiTheme="majorHAnsi" w:cstheme="majorHAnsi"/>
          <w:color w:val="000000"/>
          <w:kern w:val="2"/>
          <w:sz w:val="24"/>
          <w:szCs w:val="24"/>
          <w:lang w:val="en-US"/>
          <w14:ligatures w14:val="standardContextual"/>
        </w:rPr>
        <w:t>8/26/2025</w:t>
      </w:r>
    </w:p>
    <w:p w14:paraId="4D4FD187" w14:textId="77777777" w:rsidR="002B466E" w:rsidRPr="000F1E60" w:rsidRDefault="002B466E">
      <w:pPr>
        <w:pStyle w:val="Heading4"/>
        <w:keepLines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heme="majorHAnsi" w:eastAsia="Garamond" w:hAnsiTheme="majorHAnsi" w:cstheme="majorHAnsi"/>
          <w:b/>
          <w:color w:val="000000"/>
          <w:u w:val="single"/>
        </w:rPr>
      </w:pPr>
    </w:p>
    <w:p w14:paraId="0A25FCB7" w14:textId="1FD666A3" w:rsidR="002B466E" w:rsidRPr="00C369B5" w:rsidRDefault="00C369B5">
      <w:pPr>
        <w:pStyle w:val="Heading4"/>
        <w:keepLines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heme="majorHAnsi" w:eastAsia="Garamond" w:hAnsiTheme="majorHAnsi" w:cstheme="majorHAnsi"/>
          <w:bCs/>
          <w:i/>
          <w:iCs/>
          <w:color w:val="000000"/>
        </w:rPr>
      </w:pPr>
      <w:r w:rsidRPr="00C369B5">
        <w:rPr>
          <w:rFonts w:asciiTheme="majorHAnsi" w:eastAsia="Garamond" w:hAnsiTheme="majorHAnsi" w:cstheme="majorHAnsi"/>
          <w:bCs/>
          <w:i/>
          <w:iCs/>
          <w:color w:val="000000"/>
        </w:rPr>
        <w:t>The Bartlesville Community Foundation (BCF) recognizes that emerging charitable initiatives and grassroots efforts often need administrative and financial infrastructure to carry out their missions. This Fiscal Sponsorship Policy outlines the scope, expectations, and procedures for BCF to serve as a fiscal sponsor for qualified charitable projects. The purpose of this policy is to provide a clear framework for partnerships that allow community-based initiatives to operate under BCF’s nonprofit status while ensuring compliance with legal, financial, and organizational standards</w:t>
      </w:r>
      <w:r>
        <w:rPr>
          <w:rFonts w:asciiTheme="majorHAnsi" w:eastAsia="Garamond" w:hAnsiTheme="majorHAnsi" w:cstheme="majorHAnsi"/>
          <w:bCs/>
          <w:i/>
          <w:iCs/>
          <w:color w:val="000000"/>
        </w:rPr>
        <w:t>.</w:t>
      </w:r>
    </w:p>
    <w:p w14:paraId="5B0EE7C9" w14:textId="77777777" w:rsidR="00C369B5" w:rsidRPr="00C369B5" w:rsidRDefault="00C369B5" w:rsidP="00C369B5"/>
    <w:p w14:paraId="7C183705" w14:textId="5DCFE609" w:rsidR="002B466E" w:rsidRPr="00C369B5" w:rsidRDefault="00C369B5">
      <w:pPr>
        <w:pStyle w:val="Heading4"/>
        <w:keepLines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heme="majorHAnsi" w:eastAsia="Calibri" w:hAnsiTheme="majorHAnsi" w:cstheme="majorHAnsi"/>
          <w:b/>
          <w:color w:val="000000"/>
          <w:sz w:val="28"/>
          <w:szCs w:val="28"/>
        </w:rPr>
      </w:pPr>
      <w:r w:rsidRPr="00C369B5">
        <w:rPr>
          <w:rFonts w:asciiTheme="majorHAnsi" w:eastAsia="Calibri" w:hAnsiTheme="majorHAnsi" w:cstheme="majorHAnsi"/>
          <w:b/>
          <w:color w:val="000000"/>
          <w:sz w:val="28"/>
          <w:szCs w:val="28"/>
        </w:rPr>
        <w:t>GUIDELINES</w:t>
      </w:r>
    </w:p>
    <w:p w14:paraId="4803B9D2" w14:textId="77777777" w:rsidR="002B466E" w:rsidRPr="000F1E60" w:rsidRDefault="002B466E">
      <w:pPr>
        <w:spacing w:line="240" w:lineRule="auto"/>
        <w:rPr>
          <w:rFonts w:asciiTheme="majorHAnsi" w:eastAsia="Calibri" w:hAnsiTheme="majorHAnsi" w:cstheme="majorHAnsi"/>
          <w:sz w:val="24"/>
          <w:szCs w:val="24"/>
        </w:rPr>
      </w:pPr>
    </w:p>
    <w:p w14:paraId="51FC82A2" w14:textId="5E63A46E"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 xml:space="preserve">The Bartlesville Community Foundation (BCF) may choose to provide fiscal and program sponsorship for charitable projects that further the purposes of the Foundation. Program sponsorship services include the provision of non-profit status to the project (thus making contributions tax deductible), acknowledging and managing contributions, and the authorization and payment of grants and expenses from the Fund. </w:t>
      </w:r>
      <w:r w:rsidR="00F42A27" w:rsidRPr="000F1E60">
        <w:rPr>
          <w:rFonts w:asciiTheme="majorHAnsi" w:eastAsia="Calibri" w:hAnsiTheme="majorHAnsi" w:cstheme="majorHAnsi"/>
          <w:color w:val="000000" w:themeColor="text1"/>
          <w:sz w:val="24"/>
          <w:szCs w:val="24"/>
        </w:rPr>
        <w:t xml:space="preserve">Fiscal </w:t>
      </w:r>
      <w:r w:rsidRPr="000F1E60">
        <w:rPr>
          <w:rFonts w:asciiTheme="majorHAnsi" w:eastAsia="Calibri" w:hAnsiTheme="majorHAnsi" w:cstheme="majorHAnsi"/>
          <w:color w:val="000000"/>
          <w:sz w:val="24"/>
          <w:szCs w:val="24"/>
        </w:rPr>
        <w:t>sponsor services do not include administrative or fundraising support, or financial support from the BCF. The primary beneficiaries of program sponsor services are typically new charities without an IRS determination letter and community groups planning a specific project that is clearly charitable in nature.</w:t>
      </w:r>
    </w:p>
    <w:p w14:paraId="5F2C566B"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42FC3158" w14:textId="70F53F01"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 xml:space="preserve">Fiscal Sponsor/Program Sponsor funds who wish to separate from the BCF to establish their own charitable organization must complete the Fiscal Sponsor Exit or Reentry Application. All requests to close a Fiscal Sponsor/Program Fund to be continued outside of the BCF must be approved by the BCF board. However, </w:t>
      </w:r>
      <w:r w:rsidR="00F42A27" w:rsidRPr="000F1E60">
        <w:rPr>
          <w:rFonts w:asciiTheme="majorHAnsi" w:eastAsia="Calibri" w:hAnsiTheme="majorHAnsi" w:cstheme="majorHAnsi"/>
          <w:color w:val="000000" w:themeColor="text1"/>
          <w:sz w:val="24"/>
          <w:szCs w:val="24"/>
        </w:rPr>
        <w:t xml:space="preserve">if </w:t>
      </w:r>
      <w:r w:rsidRPr="000F1E60">
        <w:rPr>
          <w:rFonts w:asciiTheme="majorHAnsi" w:eastAsia="Calibri" w:hAnsiTheme="majorHAnsi" w:cstheme="majorHAnsi"/>
          <w:color w:val="000000"/>
          <w:sz w:val="24"/>
          <w:szCs w:val="24"/>
        </w:rPr>
        <w:t xml:space="preserve">the natural life cycle of the fund </w:t>
      </w:r>
      <w:r w:rsidR="007F368B" w:rsidRPr="000F1E60">
        <w:rPr>
          <w:rFonts w:asciiTheme="majorHAnsi" w:eastAsia="Calibri" w:hAnsiTheme="majorHAnsi" w:cstheme="majorHAnsi"/>
          <w:color w:val="000000" w:themeColor="text1"/>
          <w:sz w:val="24"/>
          <w:szCs w:val="24"/>
        </w:rPr>
        <w:t xml:space="preserve">has ended </w:t>
      </w:r>
      <w:r w:rsidRPr="000F1E60">
        <w:rPr>
          <w:rFonts w:asciiTheme="majorHAnsi" w:eastAsia="Calibri" w:hAnsiTheme="majorHAnsi" w:cstheme="majorHAnsi"/>
          <w:color w:val="000000"/>
          <w:sz w:val="24"/>
          <w:szCs w:val="24"/>
        </w:rPr>
        <w:t>and all funds</w:t>
      </w:r>
      <w:r w:rsidR="007F368B" w:rsidRPr="000F1E60">
        <w:rPr>
          <w:rFonts w:asciiTheme="majorHAnsi" w:eastAsia="Calibri" w:hAnsiTheme="majorHAnsi" w:cstheme="majorHAnsi"/>
          <w:color w:val="000000"/>
          <w:sz w:val="24"/>
          <w:szCs w:val="24"/>
        </w:rPr>
        <w:t xml:space="preserve"> </w:t>
      </w:r>
      <w:r w:rsidR="007F368B" w:rsidRPr="000F1E60">
        <w:rPr>
          <w:rFonts w:asciiTheme="majorHAnsi" w:eastAsia="Calibri" w:hAnsiTheme="majorHAnsi" w:cstheme="majorHAnsi"/>
          <w:color w:val="000000" w:themeColor="text1"/>
          <w:sz w:val="24"/>
          <w:szCs w:val="24"/>
        </w:rPr>
        <w:t>have been dispersed</w:t>
      </w:r>
      <w:r w:rsidRPr="000F1E60">
        <w:rPr>
          <w:rFonts w:asciiTheme="majorHAnsi" w:eastAsia="Calibri" w:hAnsiTheme="majorHAnsi" w:cstheme="majorHAnsi"/>
          <w:color w:val="000000" w:themeColor="text1"/>
          <w:sz w:val="24"/>
          <w:szCs w:val="24"/>
        </w:rPr>
        <w:t xml:space="preserve"> </w:t>
      </w:r>
      <w:r w:rsidRPr="000F1E60">
        <w:rPr>
          <w:rFonts w:asciiTheme="majorHAnsi" w:eastAsia="Calibri" w:hAnsiTheme="majorHAnsi" w:cstheme="majorHAnsi"/>
          <w:color w:val="000000"/>
          <w:sz w:val="24"/>
          <w:szCs w:val="24"/>
        </w:rPr>
        <w:t xml:space="preserve">in accordance </w:t>
      </w:r>
      <w:proofErr w:type="gramStart"/>
      <w:r w:rsidRPr="000F1E60">
        <w:rPr>
          <w:rFonts w:asciiTheme="majorHAnsi" w:eastAsia="Calibri" w:hAnsiTheme="majorHAnsi" w:cstheme="majorHAnsi"/>
          <w:color w:val="000000"/>
          <w:sz w:val="24"/>
          <w:szCs w:val="24"/>
        </w:rPr>
        <w:t>to</w:t>
      </w:r>
      <w:proofErr w:type="gramEnd"/>
      <w:r w:rsidRPr="000F1E60">
        <w:rPr>
          <w:rFonts w:asciiTheme="majorHAnsi" w:eastAsia="Calibri" w:hAnsiTheme="majorHAnsi" w:cstheme="majorHAnsi"/>
          <w:color w:val="000000"/>
          <w:sz w:val="24"/>
          <w:szCs w:val="24"/>
        </w:rPr>
        <w:t xml:space="preserve"> the Fund Agreement</w:t>
      </w:r>
      <w:r w:rsidR="007F368B" w:rsidRPr="000F1E60">
        <w:rPr>
          <w:rFonts w:asciiTheme="majorHAnsi" w:eastAsia="Calibri" w:hAnsiTheme="majorHAnsi" w:cstheme="majorHAnsi"/>
          <w:color w:val="000000"/>
          <w:sz w:val="24"/>
          <w:szCs w:val="24"/>
        </w:rPr>
        <w:t xml:space="preserve">, </w:t>
      </w:r>
      <w:r w:rsidR="007F368B" w:rsidRPr="000F1E60">
        <w:rPr>
          <w:rFonts w:asciiTheme="majorHAnsi" w:eastAsia="Calibri" w:hAnsiTheme="majorHAnsi" w:cstheme="majorHAnsi"/>
          <w:color w:val="000000" w:themeColor="text1"/>
          <w:sz w:val="24"/>
          <w:szCs w:val="24"/>
        </w:rPr>
        <w:t>its closing</w:t>
      </w:r>
      <w:r w:rsidRPr="000F1E60">
        <w:rPr>
          <w:rFonts w:asciiTheme="majorHAnsi" w:eastAsia="Calibri" w:hAnsiTheme="majorHAnsi" w:cstheme="majorHAnsi"/>
          <w:color w:val="000000" w:themeColor="text1"/>
          <w:sz w:val="24"/>
          <w:szCs w:val="24"/>
        </w:rPr>
        <w:t xml:space="preserve"> do</w:t>
      </w:r>
      <w:r w:rsidR="007F368B" w:rsidRPr="000F1E60">
        <w:rPr>
          <w:rFonts w:asciiTheme="majorHAnsi" w:eastAsia="Calibri" w:hAnsiTheme="majorHAnsi" w:cstheme="majorHAnsi"/>
          <w:color w:val="000000" w:themeColor="text1"/>
          <w:sz w:val="24"/>
          <w:szCs w:val="24"/>
        </w:rPr>
        <w:t>es</w:t>
      </w:r>
      <w:r w:rsidRPr="000F1E60">
        <w:rPr>
          <w:rFonts w:asciiTheme="majorHAnsi" w:eastAsia="Calibri" w:hAnsiTheme="majorHAnsi" w:cstheme="majorHAnsi"/>
          <w:color w:val="000000" w:themeColor="text1"/>
          <w:sz w:val="24"/>
          <w:szCs w:val="24"/>
        </w:rPr>
        <w:t xml:space="preserve"> </w:t>
      </w:r>
      <w:r w:rsidRPr="000F1E60">
        <w:rPr>
          <w:rFonts w:asciiTheme="majorHAnsi" w:eastAsia="Calibri" w:hAnsiTheme="majorHAnsi" w:cstheme="majorHAnsi"/>
          <w:color w:val="000000"/>
          <w:sz w:val="24"/>
          <w:szCs w:val="24"/>
        </w:rPr>
        <w:t>not have to be reviewed by the BCF board.</w:t>
      </w:r>
    </w:p>
    <w:p w14:paraId="5FFDDB14"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28CA6D80" w14:textId="77777777"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The BCF requires a Fiscal Sponsor Fund Agreement with Guidelines attachment to include a description of the project, its purpose, goals, expected duration, fundraising plan, a list of advisory group members and contact information, current and future budgets, and, if available, bylaws. An application form is available from the Foundation and must be submitted for review and approval. Potential applicants are encouraged to discuss their projects and applications with BCF staff prior to submittal.</w:t>
      </w:r>
    </w:p>
    <w:p w14:paraId="78D79C2A"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028F0134" w14:textId="38877A47"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 xml:space="preserve">The BCF staff will review all applications and fund agreements. Board approval is necessary for a project to become a BCF </w:t>
      </w:r>
      <w:r w:rsidR="007F368B" w:rsidRPr="000F1E60">
        <w:rPr>
          <w:rFonts w:asciiTheme="majorHAnsi" w:eastAsia="Calibri" w:hAnsiTheme="majorHAnsi" w:cstheme="majorHAnsi"/>
          <w:color w:val="000000" w:themeColor="text1"/>
          <w:sz w:val="24"/>
          <w:szCs w:val="24"/>
        </w:rPr>
        <w:t>component fund</w:t>
      </w:r>
      <w:r w:rsidRPr="000F1E60">
        <w:rPr>
          <w:rFonts w:asciiTheme="majorHAnsi" w:eastAsia="Calibri" w:hAnsiTheme="majorHAnsi" w:cstheme="majorHAnsi"/>
          <w:color w:val="000000"/>
          <w:sz w:val="24"/>
          <w:szCs w:val="24"/>
        </w:rPr>
        <w:t xml:space="preserve">. A fund bearing the project's name will be established. The project is then accounted for as "The XYZ Project, a </w:t>
      </w:r>
      <w:r w:rsidR="007F368B" w:rsidRPr="000F1E60">
        <w:rPr>
          <w:rFonts w:asciiTheme="majorHAnsi" w:eastAsia="Calibri" w:hAnsiTheme="majorHAnsi" w:cstheme="majorHAnsi"/>
          <w:color w:val="000000" w:themeColor="text1"/>
          <w:sz w:val="24"/>
          <w:szCs w:val="24"/>
        </w:rPr>
        <w:t>fiscal sponsorship</w:t>
      </w:r>
      <w:r w:rsidRPr="000F1E60">
        <w:rPr>
          <w:rFonts w:asciiTheme="majorHAnsi" w:eastAsia="Calibri" w:hAnsiTheme="majorHAnsi" w:cstheme="majorHAnsi"/>
          <w:color w:val="000000" w:themeColor="text1"/>
          <w:sz w:val="24"/>
          <w:szCs w:val="24"/>
        </w:rPr>
        <w:t xml:space="preserve"> </w:t>
      </w:r>
      <w:r w:rsidRPr="000F1E60">
        <w:rPr>
          <w:rFonts w:asciiTheme="majorHAnsi" w:eastAsia="Calibri" w:hAnsiTheme="majorHAnsi" w:cstheme="majorHAnsi"/>
          <w:color w:val="000000"/>
          <w:sz w:val="24"/>
          <w:szCs w:val="24"/>
        </w:rPr>
        <w:t>of Bartlesville Community Foundation" for IRS auditing, financial reporting, marketing, and fundraising purposes.</w:t>
      </w:r>
    </w:p>
    <w:p w14:paraId="432DEACD"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53959C2E" w14:textId="58101D5B"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lastRenderedPageBreak/>
        <w:t xml:space="preserve">As </w:t>
      </w:r>
      <w:r w:rsidR="007F368B" w:rsidRPr="000F1E60">
        <w:rPr>
          <w:rFonts w:asciiTheme="majorHAnsi" w:eastAsia="Calibri" w:hAnsiTheme="majorHAnsi" w:cstheme="majorHAnsi"/>
          <w:color w:val="000000" w:themeColor="text1"/>
          <w:sz w:val="24"/>
          <w:szCs w:val="24"/>
        </w:rPr>
        <w:t xml:space="preserve">fiscal </w:t>
      </w:r>
      <w:r w:rsidRPr="000F1E60">
        <w:rPr>
          <w:rFonts w:asciiTheme="majorHAnsi" w:eastAsia="Calibri" w:hAnsiTheme="majorHAnsi" w:cstheme="majorHAnsi"/>
          <w:color w:val="000000"/>
          <w:sz w:val="24"/>
          <w:szCs w:val="24"/>
        </w:rPr>
        <w:t>sponsor, the community foundation is legally responsible for the project's administration, management, and disbursement of funds. Typically, the community foundation assures programmatic oversight by authorizing an existing advisory group to fulfill that function. A roster of the group and minutes of meetings are forwarded to the community foundation</w:t>
      </w:r>
      <w:r w:rsidR="00BE26A6" w:rsidRPr="000F1E60">
        <w:rPr>
          <w:rFonts w:asciiTheme="majorHAnsi" w:eastAsia="Calibri" w:hAnsiTheme="majorHAnsi" w:cstheme="majorHAnsi"/>
          <w:color w:val="000000"/>
          <w:sz w:val="24"/>
          <w:szCs w:val="24"/>
        </w:rPr>
        <w:t xml:space="preserve"> </w:t>
      </w:r>
      <w:r w:rsidR="00BE26A6" w:rsidRPr="000F1E60">
        <w:rPr>
          <w:rFonts w:asciiTheme="majorHAnsi" w:eastAsia="Calibri" w:hAnsiTheme="majorHAnsi" w:cstheme="majorHAnsi"/>
          <w:color w:val="000000" w:themeColor="text1"/>
          <w:sz w:val="24"/>
          <w:szCs w:val="24"/>
        </w:rPr>
        <w:t>a</w:t>
      </w:r>
      <w:r w:rsidR="007F368B" w:rsidRPr="000F1E60">
        <w:rPr>
          <w:rFonts w:asciiTheme="majorHAnsi" w:eastAsia="Calibri" w:hAnsiTheme="majorHAnsi" w:cstheme="majorHAnsi"/>
          <w:color w:val="000000" w:themeColor="text1"/>
          <w:sz w:val="24"/>
          <w:szCs w:val="24"/>
        </w:rPr>
        <w:t>s needed or requested by the BCF.</w:t>
      </w:r>
    </w:p>
    <w:p w14:paraId="2D957C29"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5AC8F680" w14:textId="4F850248"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themeColor="text1"/>
          <w:sz w:val="24"/>
          <w:szCs w:val="24"/>
        </w:rPr>
      </w:pPr>
      <w:r w:rsidRPr="000F1E60">
        <w:rPr>
          <w:rFonts w:asciiTheme="majorHAnsi" w:eastAsia="Calibri" w:hAnsiTheme="majorHAnsi" w:cstheme="majorHAnsi"/>
          <w:color w:val="000000"/>
          <w:sz w:val="24"/>
          <w:szCs w:val="24"/>
        </w:rPr>
        <w:t>Following board approval of the project as a</w:t>
      </w:r>
      <w:r w:rsidR="007F368B" w:rsidRPr="000F1E60">
        <w:rPr>
          <w:rFonts w:asciiTheme="majorHAnsi" w:eastAsia="Calibri" w:hAnsiTheme="majorHAnsi" w:cstheme="majorHAnsi"/>
          <w:color w:val="000000"/>
          <w:sz w:val="24"/>
          <w:szCs w:val="24"/>
        </w:rPr>
        <w:t xml:space="preserve"> </w:t>
      </w:r>
      <w:r w:rsidR="007F368B" w:rsidRPr="000F1E60">
        <w:rPr>
          <w:rFonts w:asciiTheme="majorHAnsi" w:eastAsia="Calibri" w:hAnsiTheme="majorHAnsi" w:cstheme="majorHAnsi"/>
          <w:color w:val="000000" w:themeColor="text1"/>
          <w:sz w:val="24"/>
          <w:szCs w:val="24"/>
        </w:rPr>
        <w:t>fiscal sponsor fund</w:t>
      </w:r>
      <w:r w:rsidR="00BE26A6" w:rsidRPr="000F1E60">
        <w:rPr>
          <w:rFonts w:asciiTheme="majorHAnsi" w:eastAsia="Calibri" w:hAnsiTheme="majorHAnsi" w:cstheme="majorHAnsi"/>
          <w:color w:val="000000"/>
          <w:sz w:val="24"/>
          <w:szCs w:val="24"/>
        </w:rPr>
        <w:t xml:space="preserve"> </w:t>
      </w:r>
      <w:r w:rsidRPr="000F1E60">
        <w:rPr>
          <w:rFonts w:asciiTheme="majorHAnsi" w:eastAsia="Calibri" w:hAnsiTheme="majorHAnsi" w:cstheme="majorHAnsi"/>
          <w:color w:val="000000"/>
          <w:sz w:val="24"/>
          <w:szCs w:val="24"/>
        </w:rPr>
        <w:t xml:space="preserve">of the foundation, staff authorizes payments periodically from the Fund to carry out the purposes of the project. The project advisory group makes recommendations for the specific expenditures. </w:t>
      </w:r>
      <w:r w:rsidR="007F368B" w:rsidRPr="000F1E60">
        <w:rPr>
          <w:rFonts w:asciiTheme="majorHAnsi" w:eastAsia="Calibri" w:hAnsiTheme="majorHAnsi" w:cstheme="majorHAnsi"/>
          <w:color w:val="000000" w:themeColor="text1"/>
          <w:sz w:val="24"/>
          <w:szCs w:val="24"/>
        </w:rPr>
        <w:t>Payments are made following the receipt of all necessary supporting documentation by the BCF’s next payment cycle.</w:t>
      </w:r>
    </w:p>
    <w:p w14:paraId="6AA582E2"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6A9B1800" w14:textId="77777777"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 xml:space="preserve">The community foundation acknowledges all gifts to the Fund with a gift acknowledgement letter. The community foundation will provide regular financial reports to the approved advisory group as requested. </w:t>
      </w:r>
    </w:p>
    <w:p w14:paraId="5AF4BA86"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79A4908D" w14:textId="6C5B146A"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strike/>
          <w:color w:val="000000" w:themeColor="text1"/>
          <w:sz w:val="24"/>
          <w:szCs w:val="24"/>
        </w:rPr>
      </w:pPr>
      <w:r w:rsidRPr="000F1E60">
        <w:rPr>
          <w:rFonts w:asciiTheme="majorHAnsi" w:eastAsia="Calibri" w:hAnsiTheme="majorHAnsi" w:cstheme="majorHAnsi"/>
          <w:color w:val="000000"/>
          <w:sz w:val="24"/>
          <w:szCs w:val="24"/>
        </w:rPr>
        <w:t xml:space="preserve">The project may apply to other funding sources under the auspices of BCF, but the community foundation is not responsible for fund-raising, for providing support for the project, or completing grant/funding reports. </w:t>
      </w:r>
      <w:r w:rsidR="007F368B" w:rsidRPr="000F1E60">
        <w:rPr>
          <w:rFonts w:asciiTheme="majorHAnsi" w:eastAsia="Calibri" w:hAnsiTheme="majorHAnsi" w:cstheme="majorHAnsi"/>
          <w:color w:val="000000" w:themeColor="text1"/>
          <w:sz w:val="24"/>
          <w:szCs w:val="24"/>
        </w:rPr>
        <w:t xml:space="preserve">The BCF may provide an “umbrella letter” when </w:t>
      </w:r>
      <w:proofErr w:type="gramStart"/>
      <w:r w:rsidR="007F368B" w:rsidRPr="000F1E60">
        <w:rPr>
          <w:rFonts w:asciiTheme="majorHAnsi" w:eastAsia="Calibri" w:hAnsiTheme="majorHAnsi" w:cstheme="majorHAnsi"/>
          <w:color w:val="000000" w:themeColor="text1"/>
          <w:sz w:val="24"/>
          <w:szCs w:val="24"/>
        </w:rPr>
        <w:t>necessary</w:t>
      </w:r>
      <w:proofErr w:type="gramEnd"/>
      <w:r w:rsidR="007F368B" w:rsidRPr="000F1E60">
        <w:rPr>
          <w:rFonts w:asciiTheme="majorHAnsi" w:eastAsia="Calibri" w:hAnsiTheme="majorHAnsi" w:cstheme="majorHAnsi"/>
          <w:color w:val="000000" w:themeColor="text1"/>
          <w:sz w:val="24"/>
          <w:szCs w:val="24"/>
        </w:rPr>
        <w:t xml:space="preserve"> which outlines the legal relationship.</w:t>
      </w:r>
    </w:p>
    <w:p w14:paraId="394A6450"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75F72AE6" w14:textId="77777777"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All printed materials, including fundraising requests, must identify the project as “Affiliated with the Bartlesville Community Foundation.”</w:t>
      </w:r>
    </w:p>
    <w:p w14:paraId="2635B197"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74EAC764" w14:textId="44134956"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As compensation for its services, the BCF charges a</w:t>
      </w:r>
      <w:r w:rsidR="007F368B" w:rsidRPr="000F1E60">
        <w:rPr>
          <w:rFonts w:asciiTheme="majorHAnsi" w:eastAsia="Calibri" w:hAnsiTheme="majorHAnsi" w:cstheme="majorHAnsi"/>
          <w:color w:val="000000"/>
          <w:sz w:val="24"/>
          <w:szCs w:val="24"/>
        </w:rPr>
        <w:t xml:space="preserve">n </w:t>
      </w:r>
      <w:r w:rsidR="007F368B" w:rsidRPr="000F1E60">
        <w:rPr>
          <w:rFonts w:asciiTheme="majorHAnsi" w:eastAsia="Calibri" w:hAnsiTheme="majorHAnsi" w:cstheme="majorHAnsi"/>
          <w:color w:val="000000" w:themeColor="text1"/>
          <w:sz w:val="24"/>
          <w:szCs w:val="24"/>
        </w:rPr>
        <w:t>administrative</w:t>
      </w:r>
      <w:r w:rsidRPr="000F1E60">
        <w:rPr>
          <w:rFonts w:asciiTheme="majorHAnsi" w:eastAsia="Calibri" w:hAnsiTheme="majorHAnsi" w:cstheme="majorHAnsi"/>
          <w:color w:val="000000" w:themeColor="text1"/>
          <w:sz w:val="24"/>
          <w:szCs w:val="24"/>
        </w:rPr>
        <w:t xml:space="preserve"> </w:t>
      </w:r>
      <w:r w:rsidRPr="000F1E60">
        <w:rPr>
          <w:rFonts w:asciiTheme="majorHAnsi" w:eastAsia="Calibri" w:hAnsiTheme="majorHAnsi" w:cstheme="majorHAnsi"/>
          <w:color w:val="000000"/>
          <w:sz w:val="24"/>
          <w:szCs w:val="24"/>
        </w:rPr>
        <w:t>fee of 4% of funds deposited, assessed quarterly. Minimum annual fee of $200</w:t>
      </w:r>
      <w:r w:rsidR="007F368B" w:rsidRPr="000F1E60">
        <w:rPr>
          <w:rFonts w:asciiTheme="majorHAnsi" w:eastAsia="Calibri" w:hAnsiTheme="majorHAnsi" w:cstheme="majorHAnsi"/>
          <w:color w:val="000000"/>
          <w:sz w:val="24"/>
          <w:szCs w:val="24"/>
        </w:rPr>
        <w:t xml:space="preserve">. </w:t>
      </w:r>
      <w:r w:rsidR="007F368B" w:rsidRPr="000F1E60">
        <w:rPr>
          <w:rFonts w:asciiTheme="majorHAnsi" w:eastAsia="Calibri" w:hAnsiTheme="majorHAnsi" w:cstheme="majorHAnsi"/>
          <w:color w:val="000000" w:themeColor="text1"/>
          <w:sz w:val="24"/>
          <w:szCs w:val="24"/>
        </w:rPr>
        <w:t>The</w:t>
      </w:r>
      <w:r w:rsidRPr="000F1E60">
        <w:rPr>
          <w:rFonts w:asciiTheme="majorHAnsi" w:eastAsia="Calibri" w:hAnsiTheme="majorHAnsi" w:cstheme="majorHAnsi"/>
          <w:color w:val="000000" w:themeColor="text1"/>
          <w:sz w:val="24"/>
          <w:szCs w:val="24"/>
        </w:rPr>
        <w:t xml:space="preserve"> </w:t>
      </w:r>
      <w:r w:rsidRPr="000F1E60">
        <w:rPr>
          <w:rFonts w:asciiTheme="majorHAnsi" w:eastAsia="Calibri" w:hAnsiTheme="majorHAnsi" w:cstheme="majorHAnsi"/>
          <w:color w:val="000000"/>
          <w:sz w:val="24"/>
          <w:szCs w:val="24"/>
        </w:rPr>
        <w:t xml:space="preserve">first 50 transactions </w:t>
      </w:r>
      <w:r w:rsidR="007F368B" w:rsidRPr="000F1E60">
        <w:rPr>
          <w:rFonts w:asciiTheme="majorHAnsi" w:eastAsia="Calibri" w:hAnsiTheme="majorHAnsi" w:cstheme="majorHAnsi"/>
          <w:color w:val="000000" w:themeColor="text1"/>
          <w:sz w:val="24"/>
          <w:szCs w:val="24"/>
        </w:rPr>
        <w:t xml:space="preserve">annually </w:t>
      </w:r>
      <w:r w:rsidRPr="000F1E60">
        <w:rPr>
          <w:rFonts w:asciiTheme="majorHAnsi" w:eastAsia="Calibri" w:hAnsiTheme="majorHAnsi" w:cstheme="majorHAnsi"/>
          <w:color w:val="000000"/>
          <w:sz w:val="24"/>
          <w:szCs w:val="24"/>
        </w:rPr>
        <w:t>are free, $2 per transaction thereafter.</w:t>
      </w:r>
    </w:p>
    <w:p w14:paraId="6DF049DA"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364E1A38" w14:textId="32F132DF" w:rsidR="002B466E" w:rsidRPr="000F1E60" w:rsidRDefault="00000000">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If the program is terminated for any reason,</w:t>
      </w:r>
      <w:r w:rsidR="007F368B" w:rsidRPr="000F1E60">
        <w:rPr>
          <w:rFonts w:asciiTheme="majorHAnsi" w:eastAsia="Calibri" w:hAnsiTheme="majorHAnsi" w:cstheme="majorHAnsi"/>
          <w:color w:val="000000"/>
          <w:sz w:val="24"/>
          <w:szCs w:val="24"/>
        </w:rPr>
        <w:t xml:space="preserve"> </w:t>
      </w:r>
      <w:r w:rsidR="007F368B" w:rsidRPr="000F1E60">
        <w:rPr>
          <w:rFonts w:asciiTheme="majorHAnsi" w:eastAsia="Calibri" w:hAnsiTheme="majorHAnsi" w:cstheme="majorHAnsi"/>
          <w:color w:val="000000" w:themeColor="text1"/>
          <w:sz w:val="24"/>
          <w:szCs w:val="24"/>
        </w:rPr>
        <w:t xml:space="preserve">any monies granted to the fiscal sponsor from a granting entity that require the gift to be used on the project or returned must be returned. </w:t>
      </w:r>
      <w:r w:rsidR="007F368B" w:rsidRPr="000F1E60">
        <w:rPr>
          <w:rFonts w:asciiTheme="majorHAnsi" w:eastAsia="Calibri" w:hAnsiTheme="majorHAnsi" w:cstheme="majorHAnsi"/>
          <w:color w:val="000000"/>
          <w:sz w:val="24"/>
          <w:szCs w:val="24"/>
        </w:rPr>
        <w:t xml:space="preserve">Any gifts from individuals or </w:t>
      </w:r>
      <w:r w:rsidRPr="000F1E60">
        <w:rPr>
          <w:rFonts w:asciiTheme="majorHAnsi" w:eastAsia="Calibri" w:hAnsiTheme="majorHAnsi" w:cstheme="majorHAnsi"/>
          <w:color w:val="000000"/>
          <w:sz w:val="24"/>
          <w:szCs w:val="24"/>
        </w:rPr>
        <w:t xml:space="preserve">any </w:t>
      </w:r>
      <w:r w:rsidR="007F368B" w:rsidRPr="000F1E60">
        <w:rPr>
          <w:rFonts w:asciiTheme="majorHAnsi" w:eastAsia="Calibri" w:hAnsiTheme="majorHAnsi" w:cstheme="majorHAnsi"/>
          <w:color w:val="000000"/>
          <w:sz w:val="24"/>
          <w:szCs w:val="24"/>
        </w:rPr>
        <w:t xml:space="preserve">other </w:t>
      </w:r>
      <w:r w:rsidRPr="000F1E60">
        <w:rPr>
          <w:rFonts w:asciiTheme="majorHAnsi" w:eastAsia="Calibri" w:hAnsiTheme="majorHAnsi" w:cstheme="majorHAnsi"/>
          <w:color w:val="000000"/>
          <w:sz w:val="24"/>
          <w:szCs w:val="24"/>
        </w:rPr>
        <w:t xml:space="preserve">money or property remaining in the Fund </w:t>
      </w:r>
      <w:r w:rsidR="007F368B" w:rsidRPr="000F1E60">
        <w:rPr>
          <w:rFonts w:asciiTheme="majorHAnsi" w:eastAsia="Calibri" w:hAnsiTheme="majorHAnsi" w:cstheme="majorHAnsi"/>
          <w:color w:val="000000" w:themeColor="text1"/>
          <w:sz w:val="24"/>
          <w:szCs w:val="24"/>
        </w:rPr>
        <w:t xml:space="preserve">shall be granted to a project of a similar nature or intent. If the Fund’s committee or primary contacts are unable to </w:t>
      </w:r>
      <w:proofErr w:type="gramStart"/>
      <w:r w:rsidR="007F368B" w:rsidRPr="000F1E60">
        <w:rPr>
          <w:rFonts w:asciiTheme="majorHAnsi" w:eastAsia="Calibri" w:hAnsiTheme="majorHAnsi" w:cstheme="majorHAnsi"/>
          <w:color w:val="000000" w:themeColor="text1"/>
          <w:sz w:val="24"/>
          <w:szCs w:val="24"/>
        </w:rPr>
        <w:t xml:space="preserve">make a </w:t>
      </w:r>
      <w:r w:rsidR="00E4664C" w:rsidRPr="000F1E60">
        <w:rPr>
          <w:rFonts w:asciiTheme="majorHAnsi" w:eastAsia="Calibri" w:hAnsiTheme="majorHAnsi" w:cstheme="majorHAnsi"/>
          <w:color w:val="000000" w:themeColor="text1"/>
          <w:sz w:val="24"/>
          <w:szCs w:val="24"/>
        </w:rPr>
        <w:t>recommendation</w:t>
      </w:r>
      <w:r w:rsidR="007F368B" w:rsidRPr="000F1E60">
        <w:rPr>
          <w:rFonts w:asciiTheme="majorHAnsi" w:eastAsia="Calibri" w:hAnsiTheme="majorHAnsi" w:cstheme="majorHAnsi"/>
          <w:color w:val="000000" w:themeColor="text1"/>
          <w:sz w:val="24"/>
          <w:szCs w:val="24"/>
        </w:rPr>
        <w:t xml:space="preserve"> that</w:t>
      </w:r>
      <w:proofErr w:type="gramEnd"/>
      <w:r w:rsidR="007F368B" w:rsidRPr="000F1E60">
        <w:rPr>
          <w:rFonts w:asciiTheme="majorHAnsi" w:eastAsia="Calibri" w:hAnsiTheme="majorHAnsi" w:cstheme="majorHAnsi"/>
          <w:color w:val="000000" w:themeColor="text1"/>
          <w:sz w:val="24"/>
          <w:szCs w:val="24"/>
        </w:rPr>
        <w:t xml:space="preserve"> fi</w:t>
      </w:r>
      <w:r w:rsidR="00E4664C" w:rsidRPr="000F1E60">
        <w:rPr>
          <w:rFonts w:asciiTheme="majorHAnsi" w:eastAsia="Calibri" w:hAnsiTheme="majorHAnsi" w:cstheme="majorHAnsi"/>
          <w:color w:val="000000" w:themeColor="text1"/>
          <w:sz w:val="24"/>
          <w:szCs w:val="24"/>
        </w:rPr>
        <w:t xml:space="preserve">ts </w:t>
      </w:r>
      <w:r w:rsidR="007F368B" w:rsidRPr="000F1E60">
        <w:rPr>
          <w:rFonts w:asciiTheme="majorHAnsi" w:eastAsia="Calibri" w:hAnsiTheme="majorHAnsi" w:cstheme="majorHAnsi"/>
          <w:color w:val="000000" w:themeColor="text1"/>
          <w:sz w:val="24"/>
          <w:szCs w:val="24"/>
        </w:rPr>
        <w:t xml:space="preserve">this criteria the fund’s balance </w:t>
      </w:r>
      <w:r w:rsidR="007F368B" w:rsidRPr="000F1E60">
        <w:rPr>
          <w:rFonts w:asciiTheme="majorHAnsi" w:eastAsia="Calibri" w:hAnsiTheme="majorHAnsi" w:cstheme="majorHAnsi"/>
          <w:color w:val="000000"/>
          <w:sz w:val="24"/>
          <w:szCs w:val="24"/>
        </w:rPr>
        <w:t xml:space="preserve">shall be </w:t>
      </w:r>
      <w:r w:rsidRPr="000F1E60">
        <w:rPr>
          <w:rFonts w:asciiTheme="majorHAnsi" w:eastAsia="Calibri" w:hAnsiTheme="majorHAnsi" w:cstheme="majorHAnsi"/>
          <w:color w:val="000000"/>
          <w:sz w:val="24"/>
          <w:szCs w:val="24"/>
        </w:rPr>
        <w:t xml:space="preserve">devoted by the BCF Board </w:t>
      </w:r>
      <w:r w:rsidR="00E4664C" w:rsidRPr="000F1E60">
        <w:rPr>
          <w:rFonts w:asciiTheme="majorHAnsi" w:eastAsia="Calibri" w:hAnsiTheme="majorHAnsi" w:cstheme="majorHAnsi"/>
          <w:color w:val="000000"/>
          <w:sz w:val="24"/>
          <w:szCs w:val="24"/>
        </w:rPr>
        <w:t xml:space="preserve">to </w:t>
      </w:r>
      <w:r w:rsidRPr="000F1E60">
        <w:rPr>
          <w:rFonts w:asciiTheme="majorHAnsi" w:eastAsia="Calibri" w:hAnsiTheme="majorHAnsi" w:cstheme="majorHAnsi"/>
          <w:color w:val="000000"/>
          <w:sz w:val="24"/>
          <w:szCs w:val="24"/>
        </w:rPr>
        <w:t>purposes of the Community Foundation that most nearly, in the opinion of the Board, approximate the purposes of the program.</w:t>
      </w:r>
    </w:p>
    <w:p w14:paraId="6D50B114"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4BA64B32" w14:textId="77777777" w:rsidR="002B466E" w:rsidRPr="000F1E60" w:rsidRDefault="00000000">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All money and property in the Fund shall be assets of the BCF and not a separate trust. All gifts received and accepted by the BCF for the Fund shall be subject to the terms of the Articles of Incorporation and the bylaws of the Community Foundation as presently in effect or as each may from time to time be amended.</w:t>
      </w:r>
    </w:p>
    <w:p w14:paraId="459F8B9D" w14:textId="77777777" w:rsidR="002B466E" w:rsidRPr="000F1E60" w:rsidRDefault="002B466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14BBE6B2" w14:textId="77777777"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The BCF will not be responsible for any debts incurred by the project, nor will it release any funds in amounts greater than the current balance of the Fund at any time.</w:t>
      </w:r>
    </w:p>
    <w:p w14:paraId="078DFA48"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6CC757CC" w14:textId="77777777"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 xml:space="preserve">All money and financial assets collected as a pass through of the organization setting up the Fund, will be held in accounts owned by the BCF. </w:t>
      </w:r>
    </w:p>
    <w:p w14:paraId="36801D6E"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Theme="majorHAnsi" w:eastAsia="Calibri" w:hAnsiTheme="majorHAnsi" w:cstheme="majorHAnsi"/>
          <w:color w:val="000000"/>
          <w:sz w:val="24"/>
          <w:szCs w:val="24"/>
        </w:rPr>
      </w:pPr>
    </w:p>
    <w:p w14:paraId="6BF5C339" w14:textId="5A852777"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bookmarkStart w:id="0" w:name="_heading=h.gjdgxs" w:colFirst="0" w:colLast="0"/>
      <w:bookmarkEnd w:id="0"/>
      <w:r w:rsidRPr="000F1E60">
        <w:rPr>
          <w:rFonts w:asciiTheme="majorHAnsi" w:eastAsia="Calibri" w:hAnsiTheme="majorHAnsi" w:cstheme="majorHAnsi"/>
          <w:color w:val="000000"/>
          <w:sz w:val="24"/>
          <w:szCs w:val="24"/>
        </w:rPr>
        <w:t>Generally, fiscal sponsor funds do not receive an investment return due to the short-term nature of the association. However, depending on the amount of money involved and the timetable for investment, it may be possible for the funds to be invested.</w:t>
      </w:r>
      <w:r w:rsidR="00E4664C" w:rsidRPr="000F1E60">
        <w:rPr>
          <w:rFonts w:asciiTheme="majorHAnsi" w:eastAsia="Calibri" w:hAnsiTheme="majorHAnsi" w:cstheme="majorHAnsi"/>
          <w:color w:val="000000"/>
          <w:sz w:val="24"/>
          <w:szCs w:val="24"/>
        </w:rPr>
        <w:t xml:space="preserve"> </w:t>
      </w:r>
    </w:p>
    <w:p w14:paraId="7F31D76E" w14:textId="77777777" w:rsidR="00E4664C" w:rsidRPr="000F1E60" w:rsidRDefault="00E4664C" w:rsidP="00E4664C">
      <w:pPr>
        <w:pStyle w:val="ListParagraph"/>
        <w:rPr>
          <w:rFonts w:asciiTheme="majorHAnsi" w:eastAsia="Calibri" w:hAnsiTheme="majorHAnsi" w:cstheme="majorHAnsi"/>
          <w:color w:val="000000"/>
          <w:sz w:val="24"/>
          <w:szCs w:val="24"/>
        </w:rPr>
      </w:pPr>
    </w:p>
    <w:p w14:paraId="4147EBE7" w14:textId="54BB20D7" w:rsidR="00E4664C" w:rsidRPr="000F1E60" w:rsidRDefault="00E4664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themeColor="text1"/>
          <w:sz w:val="24"/>
          <w:szCs w:val="24"/>
        </w:rPr>
      </w:pPr>
      <w:r w:rsidRPr="000F1E60">
        <w:rPr>
          <w:rFonts w:asciiTheme="majorHAnsi" w:eastAsia="Calibri" w:hAnsiTheme="majorHAnsi" w:cstheme="majorHAnsi"/>
          <w:color w:val="000000" w:themeColor="text1"/>
          <w:sz w:val="24"/>
          <w:szCs w:val="24"/>
        </w:rPr>
        <w:t>Depending on the nature of the project, additional insurance may be necessary and required to be purchased. This expense can be paid by the fund. If the balance does not exist to cover the cost of this policy, the fundholders are responsible for payment.</w:t>
      </w:r>
    </w:p>
    <w:p w14:paraId="4E4F5FBC"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Theme="majorHAnsi" w:eastAsia="Calibri" w:hAnsiTheme="majorHAnsi" w:cstheme="majorHAnsi"/>
          <w:color w:val="000000"/>
          <w:sz w:val="24"/>
          <w:szCs w:val="24"/>
        </w:rPr>
      </w:pPr>
    </w:p>
    <w:p w14:paraId="56189D37" w14:textId="77777777" w:rsidR="002B466E" w:rsidRPr="000F1E6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Improper use of a fiscal sponsorship is strictly prohibited. Such examples may include:</w:t>
      </w:r>
    </w:p>
    <w:p w14:paraId="095432BB" w14:textId="77777777" w:rsidR="002B466E" w:rsidRPr="000F1E60" w:rsidRDefault="002B466E">
      <w:pPr>
        <w:pBdr>
          <w:top w:val="nil"/>
          <w:left w:val="nil"/>
          <w:bottom w:val="nil"/>
          <w:right w:val="nil"/>
          <w:between w:val="nil"/>
        </w:pBdr>
        <w:ind w:left="720"/>
        <w:rPr>
          <w:rFonts w:asciiTheme="majorHAnsi" w:eastAsia="Calibri" w:hAnsiTheme="majorHAnsi" w:cstheme="majorHAnsi"/>
          <w:color w:val="000000"/>
          <w:sz w:val="24"/>
          <w:szCs w:val="24"/>
        </w:rPr>
      </w:pPr>
    </w:p>
    <w:p w14:paraId="7E2AEB0C" w14:textId="77777777" w:rsidR="002B466E" w:rsidRPr="000F1E60" w:rsidRDefault="00000000">
      <w:pPr>
        <w:numPr>
          <w:ilvl w:val="0"/>
          <w:numId w:val="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Funds are being raised and used for a purpose other than what the fund was approved and set up to accomplish.</w:t>
      </w:r>
    </w:p>
    <w:p w14:paraId="4F8837A0" w14:textId="77777777" w:rsidR="002B466E" w:rsidRPr="000F1E60" w:rsidRDefault="00000000">
      <w:pPr>
        <w:numPr>
          <w:ilvl w:val="0"/>
          <w:numId w:val="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 xml:space="preserve">Fiscal Sponsor key advisors are using the funds to benefit themselves. </w:t>
      </w:r>
    </w:p>
    <w:p w14:paraId="37CAD02A" w14:textId="389F82B7" w:rsidR="002B466E" w:rsidRPr="000F1E60" w:rsidRDefault="00000000">
      <w:pPr>
        <w:numPr>
          <w:ilvl w:val="0"/>
          <w:numId w:val="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 xml:space="preserve">Funds are being raised to support a political party/organization, individual candidate, or </w:t>
      </w:r>
      <w:r w:rsidR="00E4664C" w:rsidRPr="000F1E60">
        <w:rPr>
          <w:rFonts w:asciiTheme="majorHAnsi" w:eastAsia="Calibri" w:hAnsiTheme="majorHAnsi" w:cstheme="majorHAnsi"/>
          <w:color w:val="000000"/>
          <w:sz w:val="24"/>
          <w:szCs w:val="24"/>
        </w:rPr>
        <w:t>issue-oriented</w:t>
      </w:r>
      <w:r w:rsidRPr="000F1E60">
        <w:rPr>
          <w:rFonts w:asciiTheme="majorHAnsi" w:eastAsia="Calibri" w:hAnsiTheme="majorHAnsi" w:cstheme="majorHAnsi"/>
          <w:color w:val="000000"/>
          <w:sz w:val="24"/>
          <w:szCs w:val="24"/>
        </w:rPr>
        <w:t xml:space="preserve"> campaign </w:t>
      </w:r>
    </w:p>
    <w:p w14:paraId="7AA0A954" w14:textId="77777777" w:rsidR="002B466E" w:rsidRPr="000F1E60" w:rsidRDefault="00000000">
      <w:pPr>
        <w:numPr>
          <w:ilvl w:val="0"/>
          <w:numId w:val="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 xml:space="preserve">Funds are being used for a purpose that goes against the mission, vision, and values of the BCF. </w:t>
      </w:r>
    </w:p>
    <w:p w14:paraId="008D0610" w14:textId="77777777" w:rsidR="002B466E" w:rsidRPr="000F1E60" w:rsidRDefault="002B466E">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rPr>
          <w:rFonts w:asciiTheme="majorHAnsi" w:eastAsia="Calibri" w:hAnsiTheme="majorHAnsi" w:cstheme="majorHAnsi"/>
          <w:color w:val="000000"/>
          <w:sz w:val="24"/>
          <w:szCs w:val="24"/>
        </w:rPr>
      </w:pPr>
    </w:p>
    <w:p w14:paraId="3D2E41BE" w14:textId="29E27520" w:rsidR="002B466E" w:rsidRPr="000F1E6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 xml:space="preserve">If the activities of a fiscal sponsorship fund are determined to be out of the scope of the established fund agreement with the BCF or puts the BCF’s tax exempt status at risk, the BCF has the authority to </w:t>
      </w:r>
      <w:r w:rsidR="00E4664C" w:rsidRPr="000F1E60">
        <w:rPr>
          <w:rFonts w:asciiTheme="majorHAnsi" w:eastAsia="Calibri" w:hAnsiTheme="majorHAnsi" w:cstheme="majorHAnsi"/>
          <w:color w:val="000000"/>
          <w:sz w:val="24"/>
          <w:szCs w:val="24"/>
        </w:rPr>
        <w:t>act</w:t>
      </w:r>
      <w:r w:rsidRPr="000F1E60">
        <w:rPr>
          <w:rFonts w:asciiTheme="majorHAnsi" w:eastAsia="Calibri" w:hAnsiTheme="majorHAnsi" w:cstheme="majorHAnsi"/>
          <w:color w:val="000000"/>
          <w:sz w:val="24"/>
          <w:szCs w:val="24"/>
        </w:rPr>
        <w:t>. This action can include but is not limited to termination of fiscal sponsorship agreement.</w:t>
      </w:r>
    </w:p>
    <w:p w14:paraId="329CFD21"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p>
    <w:p w14:paraId="4BA79788" w14:textId="77777777" w:rsidR="002B466E" w:rsidRPr="000F1E6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 xml:space="preserve">Following documents are attached: </w:t>
      </w:r>
    </w:p>
    <w:p w14:paraId="776D0D40" w14:textId="77777777" w:rsidR="002B466E" w:rsidRPr="000F1E60" w:rsidRDefault="00000000">
      <w:pPr>
        <w:numPr>
          <w:ilvl w:val="0"/>
          <w:numId w:val="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Fiscal Sponsor Fund Agreement</w:t>
      </w:r>
    </w:p>
    <w:p w14:paraId="2DA25014" w14:textId="77777777" w:rsidR="002B466E" w:rsidRPr="000F1E60" w:rsidRDefault="00000000">
      <w:pPr>
        <w:numPr>
          <w:ilvl w:val="0"/>
          <w:numId w:val="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Guidelines for Project Proposal Requesting Fiscal Sponsorship</w:t>
      </w:r>
    </w:p>
    <w:p w14:paraId="46E6E49C" w14:textId="77777777" w:rsidR="002B466E" w:rsidRPr="000F1E60" w:rsidRDefault="00000000">
      <w:pPr>
        <w:numPr>
          <w:ilvl w:val="0"/>
          <w:numId w:val="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Fundholder Information Form</w:t>
      </w:r>
    </w:p>
    <w:p w14:paraId="22DD0A3E" w14:textId="77777777" w:rsidR="002B466E" w:rsidRPr="000F1E60" w:rsidRDefault="00000000">
      <w:pPr>
        <w:numPr>
          <w:ilvl w:val="0"/>
          <w:numId w:val="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color w:val="000000"/>
          <w:sz w:val="24"/>
          <w:szCs w:val="24"/>
        </w:rPr>
      </w:pPr>
      <w:r w:rsidRPr="000F1E60">
        <w:rPr>
          <w:rFonts w:asciiTheme="majorHAnsi" w:eastAsia="Calibri" w:hAnsiTheme="majorHAnsi" w:cstheme="majorHAnsi"/>
          <w:color w:val="000000"/>
          <w:sz w:val="24"/>
          <w:szCs w:val="24"/>
        </w:rPr>
        <w:t>Fiscal Sponsor Exit or Reentry Application</w:t>
      </w:r>
    </w:p>
    <w:p w14:paraId="14DEB0A3"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b/>
          <w:sz w:val="24"/>
          <w:szCs w:val="24"/>
        </w:rPr>
      </w:pPr>
    </w:p>
    <w:p w14:paraId="3E2B14F6" w14:textId="77777777" w:rsidR="002B466E" w:rsidRPr="000F1E60" w:rsidRDefault="002B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b/>
          <w:sz w:val="24"/>
          <w:szCs w:val="24"/>
        </w:rPr>
      </w:pPr>
    </w:p>
    <w:p w14:paraId="067385F6" w14:textId="6B9F2723" w:rsidR="002B466E" w:rsidRPr="000F1E60" w:rsidRDefault="00000000" w:rsidP="00E46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eastAsia="Calibri" w:hAnsiTheme="majorHAnsi" w:cstheme="majorHAnsi"/>
          <w:sz w:val="24"/>
          <w:szCs w:val="24"/>
        </w:rPr>
      </w:pPr>
      <w:r w:rsidRPr="000F1E60">
        <w:rPr>
          <w:rFonts w:asciiTheme="majorHAnsi" w:eastAsia="Calibri" w:hAnsiTheme="majorHAnsi" w:cstheme="majorHAnsi"/>
          <w:b/>
          <w:sz w:val="24"/>
          <w:szCs w:val="24"/>
        </w:rPr>
        <w:t>For more information, contact the BCF 918-337-2287.</w:t>
      </w:r>
    </w:p>
    <w:sectPr w:rsidR="002B466E" w:rsidRPr="000F1E60" w:rsidSect="000F1E60">
      <w:headerReference w:type="default" r:id="rId8"/>
      <w:footerReference w:type="even" r:id="rId9"/>
      <w:footerReference w:type="default" r:id="rId10"/>
      <w:pgSz w:w="12240" w:h="15840"/>
      <w:pgMar w:top="1440" w:right="1440" w:bottom="1440" w:left="1440" w:header="720"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5AA6" w14:textId="77777777" w:rsidR="00C0357E" w:rsidRDefault="00C0357E">
      <w:pPr>
        <w:spacing w:line="240" w:lineRule="auto"/>
      </w:pPr>
      <w:r>
        <w:separator/>
      </w:r>
    </w:p>
  </w:endnote>
  <w:endnote w:type="continuationSeparator" w:id="0">
    <w:p w14:paraId="13A62C33" w14:textId="77777777" w:rsidR="00C0357E" w:rsidRDefault="00C03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CBB7" w14:textId="77777777" w:rsidR="002B466E"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AA81DAD" w14:textId="77777777" w:rsidR="002B466E" w:rsidRDefault="002B466E">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701F" w14:textId="56398214" w:rsidR="00792F4E" w:rsidRPr="00792F4E" w:rsidRDefault="00792F4E" w:rsidP="00792F4E">
    <w:pPr>
      <w:pBdr>
        <w:bottom w:val="single" w:sz="24" w:space="1" w:color="BF8F00"/>
      </w:pBdr>
      <w:tabs>
        <w:tab w:val="center" w:pos="4680"/>
        <w:tab w:val="right" w:pos="9360"/>
      </w:tabs>
      <w:spacing w:line="240" w:lineRule="auto"/>
      <w:rPr>
        <w:rFonts w:ascii="Calibri" w:eastAsia="Calibri" w:hAnsi="Calibri" w:cs="Times New Roman"/>
        <w:kern w:val="2"/>
        <w:sz w:val="20"/>
        <w:szCs w:val="20"/>
        <w:lang w:val="en-US"/>
        <w14:ligatures w14:val="standardContextual"/>
      </w:rPr>
    </w:pPr>
    <w:r>
      <w:rPr>
        <w:rFonts w:ascii="Calibri" w:eastAsia="Calibri" w:hAnsi="Calibri" w:cs="Times New Roman"/>
        <w:kern w:val="2"/>
        <w:sz w:val="20"/>
        <w:szCs w:val="20"/>
        <w:lang w:val="en-US"/>
        <w14:ligatures w14:val="standardContextual"/>
      </w:rPr>
      <w:t>Fiscal Sponsorship</w:t>
    </w:r>
    <w:r w:rsidRPr="00792F4E">
      <w:rPr>
        <w:rFonts w:ascii="Calibri" w:eastAsia="Calibri" w:hAnsi="Calibri" w:cs="Times New Roman"/>
        <w:kern w:val="2"/>
        <w:sz w:val="20"/>
        <w:szCs w:val="20"/>
        <w:lang w:val="en-US"/>
        <w14:ligatures w14:val="standardContextual"/>
      </w:rPr>
      <w:t xml:space="preserve"> Policy</w:t>
    </w:r>
    <w:r w:rsidRPr="00792F4E">
      <w:rPr>
        <w:rFonts w:ascii="Calibri" w:eastAsia="Calibri" w:hAnsi="Calibri" w:cs="Times New Roman"/>
        <w:kern w:val="2"/>
        <w:sz w:val="20"/>
        <w:szCs w:val="20"/>
        <w:lang w:val="en-US"/>
        <w14:ligatures w14:val="standardContextual"/>
      </w:rPr>
      <w:tab/>
    </w:r>
    <w:r w:rsidRPr="00792F4E">
      <w:rPr>
        <w:rFonts w:ascii="Calibri" w:eastAsia="Calibri" w:hAnsi="Calibri" w:cs="Times New Roman"/>
        <w:kern w:val="2"/>
        <w:sz w:val="20"/>
        <w:szCs w:val="20"/>
        <w:lang w:val="en-US"/>
        <w14:ligatures w14:val="standardContextual"/>
      </w:rPr>
      <w:tab/>
    </w:r>
    <w:r w:rsidRPr="00792F4E">
      <w:rPr>
        <w:rFonts w:ascii="Calibri" w:eastAsia="Calibri" w:hAnsi="Calibri" w:cs="Calibri"/>
        <w:kern w:val="2"/>
        <w:sz w:val="20"/>
        <w:szCs w:val="20"/>
        <w:lang w:val="en-US"/>
        <w14:ligatures w14:val="standardContextual"/>
      </w:rPr>
      <w:t xml:space="preserve">Page </w:t>
    </w:r>
    <w:r w:rsidRPr="00792F4E">
      <w:rPr>
        <w:rFonts w:ascii="Calibri" w:eastAsia="Calibri" w:hAnsi="Calibri" w:cs="Calibri"/>
        <w:kern w:val="2"/>
        <w:sz w:val="20"/>
        <w:szCs w:val="20"/>
        <w:lang w:val="en-US"/>
        <w14:ligatures w14:val="standardContextual"/>
      </w:rPr>
      <w:fldChar w:fldCharType="begin"/>
    </w:r>
    <w:r w:rsidRPr="00792F4E">
      <w:rPr>
        <w:rFonts w:ascii="Calibri" w:eastAsia="Calibri" w:hAnsi="Calibri" w:cs="Calibri"/>
        <w:kern w:val="2"/>
        <w:sz w:val="20"/>
        <w:szCs w:val="20"/>
        <w:lang w:val="en-US"/>
        <w14:ligatures w14:val="standardContextual"/>
      </w:rPr>
      <w:instrText xml:space="preserve"> PAGE </w:instrText>
    </w:r>
    <w:r w:rsidRPr="00792F4E">
      <w:rPr>
        <w:rFonts w:ascii="Calibri" w:eastAsia="Calibri" w:hAnsi="Calibri" w:cs="Calibri"/>
        <w:kern w:val="2"/>
        <w:sz w:val="20"/>
        <w:szCs w:val="20"/>
        <w:lang w:val="en-US"/>
        <w14:ligatures w14:val="standardContextual"/>
      </w:rPr>
      <w:fldChar w:fldCharType="separate"/>
    </w:r>
    <w:r w:rsidRPr="00792F4E">
      <w:rPr>
        <w:rFonts w:ascii="Calibri" w:eastAsia="Calibri" w:hAnsi="Calibri" w:cs="Calibri"/>
        <w:kern w:val="2"/>
        <w:sz w:val="20"/>
        <w:szCs w:val="20"/>
        <w:lang w:val="en-US"/>
        <w14:ligatures w14:val="standardContextual"/>
      </w:rPr>
      <w:t>1</w:t>
    </w:r>
    <w:r w:rsidRPr="00792F4E">
      <w:rPr>
        <w:rFonts w:ascii="Calibri" w:eastAsia="Calibri" w:hAnsi="Calibri" w:cs="Calibri"/>
        <w:kern w:val="2"/>
        <w:sz w:val="20"/>
        <w:szCs w:val="20"/>
        <w:lang w:val="en-US"/>
        <w14:ligatures w14:val="standardContextual"/>
      </w:rPr>
      <w:fldChar w:fldCharType="end"/>
    </w:r>
    <w:r w:rsidRPr="00792F4E">
      <w:rPr>
        <w:rFonts w:ascii="Calibri" w:eastAsia="Calibri" w:hAnsi="Calibri" w:cs="Calibri"/>
        <w:kern w:val="2"/>
        <w:sz w:val="20"/>
        <w:szCs w:val="20"/>
        <w:lang w:val="en-US"/>
        <w14:ligatures w14:val="standardContextual"/>
      </w:rPr>
      <w:t xml:space="preserve"> of </w:t>
    </w:r>
    <w:r w:rsidRPr="00792F4E">
      <w:rPr>
        <w:rFonts w:ascii="Calibri" w:eastAsia="Calibri" w:hAnsi="Calibri" w:cs="Calibri"/>
        <w:kern w:val="2"/>
        <w:sz w:val="20"/>
        <w:szCs w:val="20"/>
        <w:lang w:val="en-US"/>
        <w14:ligatures w14:val="standardContextual"/>
      </w:rPr>
      <w:fldChar w:fldCharType="begin"/>
    </w:r>
    <w:r w:rsidRPr="00792F4E">
      <w:rPr>
        <w:rFonts w:ascii="Calibri" w:eastAsia="Calibri" w:hAnsi="Calibri" w:cs="Calibri"/>
        <w:kern w:val="2"/>
        <w:sz w:val="20"/>
        <w:szCs w:val="20"/>
        <w:lang w:val="en-US"/>
        <w14:ligatures w14:val="standardContextual"/>
      </w:rPr>
      <w:instrText xml:space="preserve"> NUMPAGES </w:instrText>
    </w:r>
    <w:r w:rsidRPr="00792F4E">
      <w:rPr>
        <w:rFonts w:ascii="Calibri" w:eastAsia="Calibri" w:hAnsi="Calibri" w:cs="Calibri"/>
        <w:kern w:val="2"/>
        <w:sz w:val="20"/>
        <w:szCs w:val="20"/>
        <w:lang w:val="en-US"/>
        <w14:ligatures w14:val="standardContextual"/>
      </w:rPr>
      <w:fldChar w:fldCharType="separate"/>
    </w:r>
    <w:r w:rsidRPr="00792F4E">
      <w:rPr>
        <w:rFonts w:ascii="Calibri" w:eastAsia="Calibri" w:hAnsi="Calibri" w:cs="Calibri"/>
        <w:kern w:val="2"/>
        <w:sz w:val="20"/>
        <w:szCs w:val="20"/>
        <w:lang w:val="en-US"/>
        <w14:ligatures w14:val="standardContextual"/>
      </w:rPr>
      <w:t>7</w:t>
    </w:r>
    <w:r w:rsidRPr="00792F4E">
      <w:rPr>
        <w:rFonts w:ascii="Calibri" w:eastAsia="Calibri" w:hAnsi="Calibri" w:cs="Calibri"/>
        <w:kern w:val="2"/>
        <w:sz w:val="20"/>
        <w:szCs w:val="20"/>
        <w:lang w:val="en-US"/>
        <w14:ligatures w14:val="standardContextual"/>
      </w:rPr>
      <w:fldChar w:fldCharType="end"/>
    </w:r>
  </w:p>
  <w:p w14:paraId="115F5132" w14:textId="77777777" w:rsidR="00792F4E" w:rsidRPr="00792F4E" w:rsidRDefault="00792F4E" w:rsidP="00792F4E">
    <w:pPr>
      <w:spacing w:line="240" w:lineRule="auto"/>
      <w:jc w:val="center"/>
      <w:rPr>
        <w:rFonts w:ascii="Calibri" w:eastAsia="Calibri" w:hAnsi="Calibri" w:cs="Times New Roman"/>
        <w:i/>
        <w:iCs/>
        <w:kern w:val="2"/>
        <w:sz w:val="20"/>
        <w:szCs w:val="20"/>
        <w:lang w:val="en-US"/>
        <w14:ligatures w14:val="standardContextual"/>
      </w:rPr>
    </w:pPr>
    <w:r w:rsidRPr="00792F4E">
      <w:rPr>
        <w:rFonts w:ascii="Calibri" w:eastAsia="Calibri" w:hAnsi="Calibri" w:cs="Times New Roman"/>
        <w:i/>
        <w:iCs/>
        <w:kern w:val="2"/>
        <w:sz w:val="20"/>
        <w:szCs w:val="20"/>
        <w:lang w:val="en-US"/>
        <w14:ligatures w14:val="standardContextual"/>
      </w:rPr>
      <w:t>Mission: Provide a simple way to do good works.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D035" w14:textId="77777777" w:rsidR="00C0357E" w:rsidRDefault="00C0357E">
      <w:pPr>
        <w:spacing w:line="240" w:lineRule="auto"/>
      </w:pPr>
      <w:r>
        <w:separator/>
      </w:r>
    </w:p>
  </w:footnote>
  <w:footnote w:type="continuationSeparator" w:id="0">
    <w:p w14:paraId="1A082BBE" w14:textId="77777777" w:rsidR="00C0357E" w:rsidRDefault="00C035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AAE1" w14:textId="77777777" w:rsidR="000F1E60" w:rsidRPr="000F1E60" w:rsidRDefault="000F1E60" w:rsidP="000F1E60">
    <w:pPr>
      <w:pBdr>
        <w:bottom w:val="single" w:sz="24" w:space="1" w:color="BF8F00"/>
      </w:pBdr>
      <w:tabs>
        <w:tab w:val="center" w:pos="4680"/>
        <w:tab w:val="right" w:pos="9360"/>
      </w:tabs>
      <w:spacing w:line="240" w:lineRule="auto"/>
      <w:jc w:val="right"/>
      <w:rPr>
        <w:rFonts w:ascii="Calibri" w:eastAsia="Calibri" w:hAnsi="Calibri" w:cs="Times New Roman"/>
        <w:b/>
        <w:bCs/>
        <w:kern w:val="2"/>
        <w:sz w:val="28"/>
        <w:szCs w:val="28"/>
        <w:lang w:val="en-US"/>
        <w14:ligatures w14:val="standardContextual"/>
      </w:rPr>
    </w:pPr>
    <w:r w:rsidRPr="000F1E60">
      <w:rPr>
        <w:rFonts w:ascii="Calibri" w:eastAsia="Calibri" w:hAnsi="Calibri" w:cs="Times New Roman"/>
        <w:noProof/>
        <w:kern w:val="2"/>
        <w:sz w:val="24"/>
        <w:szCs w:val="24"/>
        <w:lang w:val="en-US"/>
        <w14:ligatures w14:val="standardContextual"/>
      </w:rPr>
      <w:drawing>
        <wp:anchor distT="0" distB="0" distL="114300" distR="114300" simplePos="0" relativeHeight="251659264" behindDoc="0" locked="0" layoutInCell="1" allowOverlap="1" wp14:anchorId="0AE03D38" wp14:editId="5799459D">
          <wp:simplePos x="0" y="0"/>
          <wp:positionH relativeFrom="column">
            <wp:posOffset>-80010</wp:posOffset>
          </wp:positionH>
          <wp:positionV relativeFrom="paragraph">
            <wp:posOffset>-175661</wp:posOffset>
          </wp:positionV>
          <wp:extent cx="1958975" cy="617220"/>
          <wp:effectExtent l="0" t="0" r="0" b="0"/>
          <wp:wrapNone/>
          <wp:docPr id="1079845415" name="Picture 1" descr="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1915" name="Picture 1" descr="Blue and yellow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617220"/>
                  </a:xfrm>
                  <a:prstGeom prst="rect">
                    <a:avLst/>
                  </a:prstGeom>
                </pic:spPr>
              </pic:pic>
            </a:graphicData>
          </a:graphic>
          <wp14:sizeRelH relativeFrom="page">
            <wp14:pctWidth>0</wp14:pctWidth>
          </wp14:sizeRelH>
          <wp14:sizeRelV relativeFrom="page">
            <wp14:pctHeight>0</wp14:pctHeight>
          </wp14:sizeRelV>
        </wp:anchor>
      </w:drawing>
    </w:r>
  </w:p>
  <w:p w14:paraId="0F4F7659" w14:textId="54CA994C" w:rsidR="000F1E60" w:rsidRPr="000F1E60" w:rsidRDefault="000F1E60" w:rsidP="000F1E60">
    <w:pPr>
      <w:pBdr>
        <w:bottom w:val="single" w:sz="24" w:space="1" w:color="BF8F00"/>
      </w:pBdr>
      <w:tabs>
        <w:tab w:val="center" w:pos="4680"/>
        <w:tab w:val="right" w:pos="9360"/>
      </w:tabs>
      <w:spacing w:line="240" w:lineRule="auto"/>
      <w:jc w:val="right"/>
      <w:rPr>
        <w:rFonts w:ascii="Calibri" w:eastAsia="Calibri" w:hAnsi="Calibri" w:cs="Times New Roman"/>
        <w:kern w:val="2"/>
        <w:sz w:val="24"/>
        <w:szCs w:val="24"/>
        <w:lang w:val="en-US"/>
        <w14:ligatures w14:val="standardContextual"/>
      </w:rPr>
    </w:pPr>
    <w:r>
      <w:rPr>
        <w:rFonts w:ascii="Calibri" w:eastAsia="Calibri" w:hAnsi="Calibri" w:cs="Times New Roman"/>
        <w:b/>
        <w:bCs/>
        <w:kern w:val="2"/>
        <w:sz w:val="28"/>
        <w:szCs w:val="28"/>
        <w:lang w:val="en-US"/>
        <w14:ligatures w14:val="standardContextual"/>
      </w:rPr>
      <w:t>FISCAL SPONSORSHIP</w:t>
    </w:r>
    <w:r w:rsidRPr="000F1E60">
      <w:rPr>
        <w:rFonts w:ascii="Calibri" w:eastAsia="Calibri" w:hAnsi="Calibri" w:cs="Times New Roman"/>
        <w:b/>
        <w:bCs/>
        <w:kern w:val="2"/>
        <w:sz w:val="28"/>
        <w:szCs w:val="28"/>
        <w:lang w:val="en-US"/>
        <w14:ligatures w14:val="standardContextual"/>
      </w:rPr>
      <w:t xml:space="preserve"> POLICY</w:t>
    </w:r>
  </w:p>
  <w:p w14:paraId="56ACC1B7" w14:textId="77777777" w:rsidR="000F1E60" w:rsidRDefault="000F1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30A7"/>
    <w:multiLevelType w:val="multilevel"/>
    <w:tmpl w:val="4D9495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27753CE"/>
    <w:multiLevelType w:val="multilevel"/>
    <w:tmpl w:val="982EA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7B15CF"/>
    <w:multiLevelType w:val="multilevel"/>
    <w:tmpl w:val="AF32985A"/>
    <w:lvl w:ilvl="0">
      <w:start w:val="1"/>
      <w:numFmt w:val="decimal"/>
      <w:lvlText w:val="%1."/>
      <w:lvlJc w:val="left"/>
      <w:pPr>
        <w:ind w:left="360" w:hanging="360"/>
      </w:pPr>
      <w:rPr>
        <w:strike w:val="0"/>
        <w:vertAlign w:val="baseline"/>
      </w:rPr>
    </w:lvl>
    <w:lvl w:ilvl="1">
      <w:start w:val="1"/>
      <w:numFmt w:val="decimal"/>
      <w:lvlText w:val="%2."/>
      <w:lvlJc w:val="left"/>
      <w:pPr>
        <w:ind w:left="360" w:hanging="36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74324374">
    <w:abstractNumId w:val="2"/>
  </w:num>
  <w:num w:numId="2" w16cid:durableId="398212626">
    <w:abstractNumId w:val="0"/>
  </w:num>
  <w:num w:numId="3" w16cid:durableId="1910647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66E"/>
    <w:rsid w:val="000F1E60"/>
    <w:rsid w:val="002B466E"/>
    <w:rsid w:val="003825BD"/>
    <w:rsid w:val="004A30FA"/>
    <w:rsid w:val="00710494"/>
    <w:rsid w:val="00792F4E"/>
    <w:rsid w:val="007F368B"/>
    <w:rsid w:val="008203E0"/>
    <w:rsid w:val="009C1E05"/>
    <w:rsid w:val="00B13A68"/>
    <w:rsid w:val="00B82774"/>
    <w:rsid w:val="00BE26A6"/>
    <w:rsid w:val="00BF478F"/>
    <w:rsid w:val="00C002AB"/>
    <w:rsid w:val="00C0357E"/>
    <w:rsid w:val="00C369B5"/>
    <w:rsid w:val="00D91981"/>
    <w:rsid w:val="00E4664C"/>
    <w:rsid w:val="00F4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DAD5E8"/>
  <w15:docId w15:val="{17DCC606-44A0-CA4F-85DB-4E305004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A456C"/>
    <w:pPr>
      <w:tabs>
        <w:tab w:val="center" w:pos="4680"/>
        <w:tab w:val="right" w:pos="9360"/>
      </w:tabs>
      <w:spacing w:line="240" w:lineRule="auto"/>
    </w:pPr>
  </w:style>
  <w:style w:type="character" w:customStyle="1" w:styleId="HeaderChar">
    <w:name w:val="Header Char"/>
    <w:basedOn w:val="DefaultParagraphFont"/>
    <w:link w:val="Header"/>
    <w:uiPriority w:val="99"/>
    <w:rsid w:val="002A456C"/>
  </w:style>
  <w:style w:type="paragraph" w:styleId="Footer">
    <w:name w:val="footer"/>
    <w:basedOn w:val="Normal"/>
    <w:link w:val="FooterChar"/>
    <w:uiPriority w:val="99"/>
    <w:unhideWhenUsed/>
    <w:rsid w:val="002A456C"/>
    <w:pPr>
      <w:tabs>
        <w:tab w:val="center" w:pos="4680"/>
        <w:tab w:val="right" w:pos="9360"/>
      </w:tabs>
      <w:spacing w:line="240" w:lineRule="auto"/>
    </w:pPr>
  </w:style>
  <w:style w:type="character" w:customStyle="1" w:styleId="FooterChar">
    <w:name w:val="Footer Char"/>
    <w:basedOn w:val="DefaultParagraphFont"/>
    <w:link w:val="Footer"/>
    <w:uiPriority w:val="99"/>
    <w:rsid w:val="002A456C"/>
  </w:style>
  <w:style w:type="character" w:styleId="PageNumber">
    <w:name w:val="page number"/>
    <w:basedOn w:val="DefaultParagraphFont"/>
    <w:uiPriority w:val="99"/>
    <w:semiHidden/>
    <w:unhideWhenUsed/>
    <w:rsid w:val="002A456C"/>
  </w:style>
  <w:style w:type="paragraph" w:styleId="ListParagraph">
    <w:name w:val="List Paragraph"/>
    <w:basedOn w:val="Normal"/>
    <w:uiPriority w:val="34"/>
    <w:qFormat/>
    <w:rsid w:val="006B5467"/>
    <w:pPr>
      <w:ind w:left="720"/>
      <w:contextualSpacing/>
    </w:pPr>
  </w:style>
  <w:style w:type="paragraph" w:styleId="BalloonText">
    <w:name w:val="Balloon Text"/>
    <w:basedOn w:val="Normal"/>
    <w:link w:val="BalloonTextChar"/>
    <w:uiPriority w:val="99"/>
    <w:semiHidden/>
    <w:unhideWhenUsed/>
    <w:rsid w:val="00C31F5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F5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WuXJGRuQyYbm5eO6QG6CqYvL7w==">AMUW2mXjOWL3UUJU5IeLTHRp508EPm8KYGetKkF+J1HSeGDDPvLmhHml4YzxvWwjoKnP9R7rDopggQqxzh7bazgQ9EmWA3258bkfQXv6XT9eE0zA1MDHZXXpVQcsxobC3dRPkBeI6xIj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Warring</cp:lastModifiedBy>
  <cp:revision>7</cp:revision>
  <cp:lastPrinted>2022-11-16T19:55:00Z</cp:lastPrinted>
  <dcterms:created xsi:type="dcterms:W3CDTF">2025-07-10T14:55:00Z</dcterms:created>
  <dcterms:modified xsi:type="dcterms:W3CDTF">2025-09-11T19:17:00Z</dcterms:modified>
</cp:coreProperties>
</file>