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F58A7" w14:textId="14F15334" w:rsidR="00940895" w:rsidRPr="00CE3098" w:rsidRDefault="00940895" w:rsidP="00940895">
      <w:pPr>
        <w:tabs>
          <w:tab w:val="right" w:pos="10080"/>
        </w:tabs>
        <w:rPr>
          <w:color w:val="000000" w:themeColor="text1"/>
        </w:rPr>
      </w:pPr>
      <w:r w:rsidRPr="00CE3098">
        <w:rPr>
          <w:color w:val="000000" w:themeColor="text1"/>
        </w:rPr>
        <w:t>Effective Date (original issue date):</w:t>
      </w:r>
      <w:r w:rsidR="00BF5B38">
        <w:rPr>
          <w:color w:val="000000" w:themeColor="text1"/>
        </w:rPr>
        <w:t xml:space="preserve"> 6/23/2020</w:t>
      </w:r>
      <w:r w:rsidRPr="00CE3098">
        <w:rPr>
          <w:color w:val="000000" w:themeColor="text1"/>
        </w:rPr>
        <w:tab/>
        <w:t>Last Revision Date:</w:t>
      </w:r>
      <w:r w:rsidR="00BF5B38">
        <w:rPr>
          <w:color w:val="000000" w:themeColor="text1"/>
        </w:rPr>
        <w:t xml:space="preserve"> 6/23/2020</w:t>
      </w:r>
      <w:r w:rsidRPr="00CE3098">
        <w:rPr>
          <w:color w:val="000000" w:themeColor="text1"/>
        </w:rPr>
        <w:t xml:space="preserve"> </w:t>
      </w:r>
    </w:p>
    <w:p w14:paraId="4FF8BD28" w14:textId="77777777" w:rsidR="00940895" w:rsidRPr="00CE3098" w:rsidRDefault="00940895" w:rsidP="00940895">
      <w:pPr>
        <w:rPr>
          <w:color w:val="000000" w:themeColor="text1"/>
        </w:rPr>
      </w:pPr>
    </w:p>
    <w:p w14:paraId="147D941B" w14:textId="1D33F8E5" w:rsidR="00940895" w:rsidRPr="00CE3098" w:rsidRDefault="006A4808" w:rsidP="00940895">
      <w:pPr>
        <w:pStyle w:val="NormalWeb"/>
        <w:spacing w:before="0" w:beforeAutospacing="0" w:after="0" w:afterAutospacing="0"/>
        <w:rPr>
          <w:color w:val="000000" w:themeColor="text1"/>
        </w:rPr>
      </w:pPr>
      <w:r>
        <w:rPr>
          <w:rFonts w:ascii="Calibri" w:hAnsi="Calibri" w:cs="Calibri"/>
          <w:i/>
          <w:iCs/>
          <w:color w:val="000000" w:themeColor="text1"/>
        </w:rPr>
        <w:t>Since t</w:t>
      </w:r>
      <w:r w:rsidR="00940895" w:rsidRPr="00CE3098">
        <w:rPr>
          <w:rFonts w:ascii="Calibri" w:hAnsi="Calibri" w:cs="Calibri"/>
          <w:i/>
          <w:iCs/>
          <w:color w:val="000000" w:themeColor="text1"/>
        </w:rPr>
        <w:t>he Bartlesville Community Foundation (BCF)</w:t>
      </w:r>
      <w:r>
        <w:rPr>
          <w:rFonts w:ascii="Calibri" w:hAnsi="Calibri" w:cs="Calibri"/>
          <w:i/>
          <w:iCs/>
          <w:color w:val="000000" w:themeColor="text1"/>
        </w:rPr>
        <w:t xml:space="preserve"> is not a private foundation, it</w:t>
      </w:r>
      <w:r w:rsidR="00940895" w:rsidRPr="00CE3098">
        <w:rPr>
          <w:rFonts w:ascii="Calibri" w:hAnsi="Calibri" w:cs="Calibri"/>
          <w:i/>
          <w:iCs/>
          <w:color w:val="000000" w:themeColor="text1"/>
        </w:rPr>
        <w:t xml:space="preserve"> </w:t>
      </w:r>
      <w:r w:rsidR="00F233CF">
        <w:rPr>
          <w:rFonts w:ascii="Calibri" w:hAnsi="Calibri" w:cs="Calibri"/>
          <w:i/>
          <w:iCs/>
          <w:color w:val="000000" w:themeColor="text1"/>
        </w:rPr>
        <w:t xml:space="preserve">is </w:t>
      </w:r>
      <w:r>
        <w:rPr>
          <w:rFonts w:ascii="Calibri" w:hAnsi="Calibri" w:cs="Calibri"/>
          <w:i/>
          <w:iCs/>
          <w:color w:val="000000" w:themeColor="text1"/>
        </w:rPr>
        <w:t xml:space="preserve">not </w:t>
      </w:r>
      <w:r w:rsidR="00F233CF">
        <w:rPr>
          <w:rFonts w:ascii="Calibri" w:hAnsi="Calibri" w:cs="Calibri"/>
          <w:i/>
          <w:iCs/>
          <w:color w:val="000000" w:themeColor="text1"/>
        </w:rPr>
        <w:t xml:space="preserve">required by law to </w:t>
      </w:r>
      <w:r>
        <w:rPr>
          <w:rFonts w:ascii="Calibri" w:hAnsi="Calibri" w:cs="Calibri"/>
          <w:i/>
          <w:iCs/>
          <w:color w:val="000000" w:themeColor="text1"/>
        </w:rPr>
        <w:t xml:space="preserve">distribute a percentage of its assets each year. </w:t>
      </w:r>
      <w:r w:rsidR="00BB451B">
        <w:rPr>
          <w:rFonts w:ascii="Calibri" w:hAnsi="Calibri" w:cs="Calibri"/>
          <w:i/>
          <w:iCs/>
          <w:color w:val="000000" w:themeColor="text1"/>
        </w:rPr>
        <w:t xml:space="preserve">This spending policy </w:t>
      </w:r>
      <w:r w:rsidR="00FA3CEC">
        <w:rPr>
          <w:rFonts w:ascii="Calibri" w:hAnsi="Calibri" w:cs="Calibri"/>
          <w:i/>
          <w:iCs/>
          <w:color w:val="000000" w:themeColor="text1"/>
        </w:rPr>
        <w:t>describe</w:t>
      </w:r>
      <w:r w:rsidR="00BB451B">
        <w:rPr>
          <w:rFonts w:ascii="Calibri" w:hAnsi="Calibri" w:cs="Calibri"/>
          <w:i/>
          <w:iCs/>
          <w:color w:val="000000" w:themeColor="text1"/>
        </w:rPr>
        <w:t xml:space="preserve">s the responsible management and sustainability </w:t>
      </w:r>
      <w:r w:rsidR="00FA3CEC">
        <w:rPr>
          <w:rFonts w:ascii="Calibri" w:hAnsi="Calibri" w:cs="Calibri"/>
          <w:i/>
          <w:iCs/>
          <w:color w:val="000000" w:themeColor="text1"/>
        </w:rPr>
        <w:t xml:space="preserve">practices </w:t>
      </w:r>
      <w:r w:rsidR="00BB451B">
        <w:rPr>
          <w:rFonts w:ascii="Calibri" w:hAnsi="Calibri" w:cs="Calibri"/>
          <w:i/>
          <w:iCs/>
          <w:color w:val="000000" w:themeColor="text1"/>
        </w:rPr>
        <w:t xml:space="preserve">of the BCF’s </w:t>
      </w:r>
      <w:r w:rsidR="00FA3CEC">
        <w:rPr>
          <w:rFonts w:ascii="Calibri" w:hAnsi="Calibri" w:cs="Calibri"/>
          <w:i/>
          <w:iCs/>
          <w:color w:val="000000" w:themeColor="text1"/>
        </w:rPr>
        <w:t>many component fund types</w:t>
      </w:r>
      <w:r w:rsidR="00940895" w:rsidRPr="00CE3098">
        <w:rPr>
          <w:rFonts w:ascii="Calibri" w:hAnsi="Calibri" w:cs="Calibri"/>
          <w:i/>
          <w:iCs/>
          <w:color w:val="000000" w:themeColor="text1"/>
        </w:rPr>
        <w:t xml:space="preserve">. </w:t>
      </w:r>
      <w:r w:rsidR="00694DBE">
        <w:rPr>
          <w:rFonts w:ascii="Calibri" w:hAnsi="Calibri" w:cs="Calibri"/>
          <w:i/>
          <w:iCs/>
          <w:color w:val="000000" w:themeColor="text1"/>
        </w:rPr>
        <w:t>Additionally, to cover the costs associated with managing and operating its programs and service, the BCF charges administrative fees. This policy also sets</w:t>
      </w:r>
      <w:r w:rsidR="00940895" w:rsidRPr="00CE3098">
        <w:rPr>
          <w:rFonts w:ascii="Calibri" w:hAnsi="Calibri" w:cs="Calibri"/>
          <w:i/>
          <w:iCs/>
          <w:color w:val="000000" w:themeColor="text1"/>
        </w:rPr>
        <w:t xml:space="preserve"> forth</w:t>
      </w:r>
      <w:r w:rsidR="00694DBE">
        <w:rPr>
          <w:rFonts w:ascii="Calibri" w:hAnsi="Calibri" w:cs="Calibri"/>
          <w:i/>
          <w:iCs/>
          <w:color w:val="000000" w:themeColor="text1"/>
        </w:rPr>
        <w:t xml:space="preserve"> the structure for such fees.</w:t>
      </w:r>
    </w:p>
    <w:p w14:paraId="20EC6CC6" w14:textId="77777777" w:rsidR="002D632C" w:rsidRDefault="002D632C" w:rsidP="00940895"/>
    <w:p w14:paraId="2915A30D" w14:textId="77777777" w:rsidR="002D632C" w:rsidRPr="00694DBE" w:rsidRDefault="002D632C" w:rsidP="00694DBE">
      <w:pPr>
        <w:pStyle w:val="ListParagraph"/>
        <w:numPr>
          <w:ilvl w:val="0"/>
          <w:numId w:val="11"/>
        </w:numPr>
        <w:rPr>
          <w:rFonts w:cs="Times New Roman (Body CS)"/>
          <w:b/>
          <w:bCs/>
          <w:caps/>
          <w:color w:val="000000" w:themeColor="text1"/>
          <w:sz w:val="28"/>
        </w:rPr>
      </w:pPr>
      <w:r w:rsidRPr="00694DBE">
        <w:rPr>
          <w:rFonts w:cs="Times New Roman (Body CS)"/>
          <w:b/>
          <w:bCs/>
          <w:caps/>
          <w:color w:val="000000" w:themeColor="text1"/>
          <w:sz w:val="28"/>
        </w:rPr>
        <w:t>Purpose of a Spending Policy</w:t>
      </w:r>
    </w:p>
    <w:p w14:paraId="2322374D" w14:textId="77777777" w:rsidR="00694DBE" w:rsidRDefault="00694DBE" w:rsidP="002D632C">
      <w:pPr>
        <w:rPr>
          <w:color w:val="000000" w:themeColor="text1"/>
        </w:rPr>
      </w:pPr>
    </w:p>
    <w:p w14:paraId="3E1CE943" w14:textId="4FF5C8B9" w:rsidR="002D632C" w:rsidRPr="00B504B1" w:rsidRDefault="002D632C" w:rsidP="002D632C">
      <w:pPr>
        <w:rPr>
          <w:strike/>
          <w:color w:val="000000" w:themeColor="text1"/>
        </w:rPr>
      </w:pPr>
      <w:r w:rsidRPr="00B504B1">
        <w:rPr>
          <w:color w:val="000000" w:themeColor="text1"/>
        </w:rPr>
        <w:t xml:space="preserve">This policy utilizes total return investment to select a percentage rate (usually between 3%-5%) to calculate annual payout from the BCF operating fund (D.C. &amp; Ruth C. Smith Fund) </w:t>
      </w:r>
      <w:r w:rsidR="00375106">
        <w:rPr>
          <w:color w:val="000000" w:themeColor="text1"/>
        </w:rPr>
        <w:t>and all component fund types</w:t>
      </w:r>
      <w:r w:rsidRPr="00B504B1">
        <w:rPr>
          <w:color w:val="000000" w:themeColor="text1"/>
        </w:rPr>
        <w:t xml:space="preserve">. This policy details the minimum spend, minimum balance and fee structures for each fund type hosted at the Bartlesville Community Foundation (BCF/Foundation). This policy may be reviewed by the Finance Committee from time-to-time and propose and changes to the board for vote. </w:t>
      </w:r>
    </w:p>
    <w:p w14:paraId="762D8A60" w14:textId="77777777" w:rsidR="002D632C" w:rsidRPr="00B504B1" w:rsidRDefault="002D632C" w:rsidP="002D632C">
      <w:pPr>
        <w:rPr>
          <w:color w:val="000000" w:themeColor="text1"/>
          <w:u w:val="single"/>
        </w:rPr>
      </w:pPr>
    </w:p>
    <w:p w14:paraId="4C227950" w14:textId="77777777" w:rsidR="002D632C" w:rsidRPr="00694DBE" w:rsidRDefault="002D632C" w:rsidP="00694DBE">
      <w:pPr>
        <w:pStyle w:val="ListParagraph"/>
        <w:numPr>
          <w:ilvl w:val="0"/>
          <w:numId w:val="11"/>
        </w:numPr>
        <w:rPr>
          <w:rFonts w:cs="Times New Roman (Body CS)"/>
          <w:b/>
          <w:bCs/>
          <w:caps/>
          <w:color w:val="000000" w:themeColor="text1"/>
          <w:sz w:val="28"/>
        </w:rPr>
      </w:pPr>
      <w:r w:rsidRPr="00694DBE">
        <w:rPr>
          <w:rFonts w:cs="Times New Roman (Body CS)"/>
          <w:b/>
          <w:bCs/>
          <w:caps/>
          <w:color w:val="000000" w:themeColor="text1"/>
          <w:sz w:val="28"/>
        </w:rPr>
        <w:t>What is Total Return?</w:t>
      </w:r>
    </w:p>
    <w:p w14:paraId="18EA7E7F" w14:textId="77777777" w:rsidR="00694DBE" w:rsidRDefault="00694DBE" w:rsidP="002D632C">
      <w:pPr>
        <w:rPr>
          <w:color w:val="000000" w:themeColor="text1"/>
        </w:rPr>
      </w:pPr>
    </w:p>
    <w:p w14:paraId="6194D664" w14:textId="209F436D" w:rsidR="002D632C" w:rsidRPr="00B504B1" w:rsidRDefault="002D632C" w:rsidP="002D632C">
      <w:pPr>
        <w:rPr>
          <w:color w:val="000000" w:themeColor="text1"/>
        </w:rPr>
      </w:pPr>
      <w:r w:rsidRPr="00B504B1">
        <w:rPr>
          <w:color w:val="000000" w:themeColor="text1"/>
        </w:rPr>
        <w:t>Total return is the combination of income, dividends, and principal change due to market fluctuation. The portfolio selection and spending policy should complement the BCF’s existing Investment Policy</w:t>
      </w:r>
      <w:r w:rsidR="002A26D4">
        <w:rPr>
          <w:color w:val="000000" w:themeColor="text1"/>
        </w:rPr>
        <w:t xml:space="preserve"> Statement. </w:t>
      </w:r>
    </w:p>
    <w:p w14:paraId="25F19C7C" w14:textId="77777777" w:rsidR="002D632C" w:rsidRPr="00B504B1" w:rsidRDefault="002D632C" w:rsidP="002D632C">
      <w:pPr>
        <w:rPr>
          <w:color w:val="000000" w:themeColor="text1"/>
        </w:rPr>
      </w:pPr>
    </w:p>
    <w:p w14:paraId="410D18F0" w14:textId="77777777" w:rsidR="002D632C" w:rsidRPr="00342AE9" w:rsidRDefault="002D632C" w:rsidP="00342AE9">
      <w:pPr>
        <w:pStyle w:val="ListParagraph"/>
        <w:numPr>
          <w:ilvl w:val="0"/>
          <w:numId w:val="11"/>
        </w:numPr>
        <w:rPr>
          <w:rFonts w:cs="Times New Roman (Body CS)"/>
          <w:b/>
          <w:bCs/>
          <w:caps/>
          <w:color w:val="000000" w:themeColor="text1"/>
          <w:sz w:val="28"/>
        </w:rPr>
      </w:pPr>
      <w:r w:rsidRPr="00342AE9">
        <w:rPr>
          <w:rFonts w:cs="Times New Roman (Body CS)"/>
          <w:b/>
          <w:bCs/>
          <w:caps/>
          <w:color w:val="000000" w:themeColor="text1"/>
          <w:sz w:val="28"/>
        </w:rPr>
        <w:t>Spending Policy and Fee Structure by Fund Type</w:t>
      </w:r>
    </w:p>
    <w:p w14:paraId="2E828B80" w14:textId="77777777" w:rsidR="002D632C" w:rsidRPr="00B504B1" w:rsidRDefault="002D632C" w:rsidP="002D632C">
      <w:pPr>
        <w:rPr>
          <w:b/>
          <w:bCs/>
          <w:color w:val="000000" w:themeColor="text1"/>
          <w:sz w:val="28"/>
          <w:szCs w:val="28"/>
          <w:u w:val="single"/>
        </w:rPr>
      </w:pPr>
    </w:p>
    <w:p w14:paraId="4523C197" w14:textId="264B1802" w:rsidR="002D632C" w:rsidRPr="00342AE9" w:rsidRDefault="002D632C" w:rsidP="00342AE9">
      <w:pPr>
        <w:pStyle w:val="ListParagraph"/>
        <w:numPr>
          <w:ilvl w:val="1"/>
          <w:numId w:val="11"/>
        </w:numPr>
        <w:rPr>
          <w:b/>
          <w:bCs/>
          <w:color w:val="000000" w:themeColor="text1"/>
          <w:sz w:val="28"/>
          <w:szCs w:val="28"/>
        </w:rPr>
      </w:pPr>
      <w:r w:rsidRPr="00342AE9">
        <w:rPr>
          <w:b/>
          <w:bCs/>
          <w:color w:val="000000" w:themeColor="text1"/>
          <w:sz w:val="28"/>
          <w:szCs w:val="28"/>
        </w:rPr>
        <w:t>General Operating Fund</w:t>
      </w:r>
    </w:p>
    <w:p w14:paraId="4F825A25" w14:textId="77777777" w:rsidR="00342AE9" w:rsidRDefault="00342AE9" w:rsidP="002D632C">
      <w:pPr>
        <w:ind w:left="720"/>
        <w:rPr>
          <w:color w:val="000000" w:themeColor="text1"/>
        </w:rPr>
      </w:pPr>
    </w:p>
    <w:p w14:paraId="07C69467" w14:textId="27324B60" w:rsidR="002D632C" w:rsidRPr="00B504B1" w:rsidRDefault="002D632C" w:rsidP="002D632C">
      <w:pPr>
        <w:ind w:left="720"/>
        <w:rPr>
          <w:color w:val="000000" w:themeColor="text1"/>
        </w:rPr>
      </w:pPr>
      <w:r w:rsidRPr="00B504B1">
        <w:rPr>
          <w:color w:val="000000" w:themeColor="text1"/>
        </w:rPr>
        <w:t xml:space="preserve">For annual budgeting purposes, the Bartlesville Community Foundation treasurer and staff calculate annual endowment draw of </w:t>
      </w:r>
      <w:r w:rsidRPr="00B504B1">
        <w:rPr>
          <w:b/>
          <w:bCs/>
          <w:i/>
          <w:iCs/>
          <w:color w:val="000000" w:themeColor="text1"/>
          <w:u w:val="single"/>
        </w:rPr>
        <w:t>5%</w:t>
      </w:r>
      <w:r w:rsidRPr="00B504B1">
        <w:rPr>
          <w:color w:val="000000" w:themeColor="text1"/>
        </w:rPr>
        <w:t xml:space="preserve"> of the Q4 balance (June 30) from the D.C. and Ruth C. Smith Fund. This calculated amount may be taken </w:t>
      </w:r>
      <w:r w:rsidR="002A26D4">
        <w:rPr>
          <w:color w:val="000000" w:themeColor="text1"/>
        </w:rPr>
        <w:t xml:space="preserve">in parts </w:t>
      </w:r>
      <w:r w:rsidRPr="00B504B1">
        <w:rPr>
          <w:color w:val="000000" w:themeColor="text1"/>
        </w:rPr>
        <w:t>throughout the year to accommodate cash flow needs but is usually done as 25% per quarter.</w:t>
      </w:r>
    </w:p>
    <w:p w14:paraId="6837DF06" w14:textId="77777777" w:rsidR="002D632C" w:rsidRPr="00B504B1" w:rsidRDefault="002D632C" w:rsidP="002D632C">
      <w:pPr>
        <w:rPr>
          <w:color w:val="000000" w:themeColor="text1"/>
        </w:rPr>
      </w:pPr>
    </w:p>
    <w:p w14:paraId="4273DE71" w14:textId="03CA3D2B" w:rsidR="002D632C" w:rsidRPr="00B504B1" w:rsidRDefault="002A26D4" w:rsidP="002D632C">
      <w:pPr>
        <w:ind w:left="720"/>
        <w:rPr>
          <w:strike/>
          <w:color w:val="000000" w:themeColor="text1"/>
        </w:rPr>
      </w:pPr>
      <w:r w:rsidRPr="00B504B1">
        <w:rPr>
          <w:color w:val="000000" w:themeColor="text1"/>
        </w:rPr>
        <w:t xml:space="preserve">Spending requests are brought to the BCF board for review via the BCF Finance and/or Executive Committee. </w:t>
      </w:r>
      <w:r>
        <w:rPr>
          <w:color w:val="000000" w:themeColor="text1"/>
        </w:rPr>
        <w:t xml:space="preserve"> </w:t>
      </w:r>
      <w:r w:rsidR="002D632C" w:rsidRPr="00B504B1">
        <w:rPr>
          <w:color w:val="000000" w:themeColor="text1"/>
        </w:rPr>
        <w:t>Amounts more than the above determined annual spend shall be re</w:t>
      </w:r>
      <w:r>
        <w:rPr>
          <w:color w:val="000000" w:themeColor="text1"/>
        </w:rPr>
        <w:t>commended to the Board</w:t>
      </w:r>
      <w:r w:rsidR="002D632C" w:rsidRPr="00B504B1">
        <w:rPr>
          <w:color w:val="000000" w:themeColor="text1"/>
        </w:rPr>
        <w:t xml:space="preserve"> by the Finance Committee</w:t>
      </w:r>
      <w:r>
        <w:rPr>
          <w:color w:val="000000" w:themeColor="text1"/>
        </w:rPr>
        <w:t>.</w:t>
      </w:r>
    </w:p>
    <w:p w14:paraId="72297927" w14:textId="77777777" w:rsidR="002D632C" w:rsidRPr="00B504B1" w:rsidRDefault="002D632C" w:rsidP="002D632C">
      <w:pPr>
        <w:rPr>
          <w:color w:val="000000" w:themeColor="text1"/>
        </w:rPr>
      </w:pPr>
    </w:p>
    <w:p w14:paraId="5E127D45" w14:textId="0DAE993B" w:rsidR="002D632C" w:rsidRPr="002A26D4" w:rsidRDefault="002D632C" w:rsidP="002D632C">
      <w:pPr>
        <w:pStyle w:val="ListParagraph"/>
        <w:numPr>
          <w:ilvl w:val="0"/>
          <w:numId w:val="1"/>
        </w:numPr>
        <w:rPr>
          <w:strike/>
          <w:color w:val="000000" w:themeColor="text1"/>
        </w:rPr>
      </w:pPr>
      <w:r w:rsidRPr="00B504B1">
        <w:rPr>
          <w:b/>
          <w:bCs/>
          <w:color w:val="000000" w:themeColor="text1"/>
          <w:u w:val="single"/>
        </w:rPr>
        <w:t>Administrative Fee:</w:t>
      </w:r>
      <w:r w:rsidRPr="00B504B1">
        <w:rPr>
          <w:color w:val="000000" w:themeColor="text1"/>
        </w:rPr>
        <w:t xml:space="preserve"> The BCF may charge the General Operating Fund a 1% administrative fee. </w:t>
      </w:r>
    </w:p>
    <w:p w14:paraId="43059CFC" w14:textId="77777777" w:rsidR="002D632C" w:rsidRPr="00B504B1" w:rsidRDefault="002D632C" w:rsidP="002D632C">
      <w:pPr>
        <w:rPr>
          <w:b/>
          <w:bCs/>
          <w:color w:val="000000" w:themeColor="text1"/>
          <w:sz w:val="28"/>
          <w:szCs w:val="28"/>
          <w:u w:val="single"/>
        </w:rPr>
      </w:pPr>
    </w:p>
    <w:p w14:paraId="496451B4" w14:textId="77777777" w:rsidR="002D632C" w:rsidRPr="00342AE9" w:rsidRDefault="002D632C" w:rsidP="00342AE9">
      <w:pPr>
        <w:pStyle w:val="ListParagraph"/>
        <w:numPr>
          <w:ilvl w:val="1"/>
          <w:numId w:val="11"/>
        </w:numPr>
        <w:rPr>
          <w:b/>
          <w:bCs/>
          <w:color w:val="000000" w:themeColor="text1"/>
          <w:sz w:val="28"/>
          <w:szCs w:val="28"/>
        </w:rPr>
      </w:pPr>
      <w:r w:rsidRPr="00342AE9">
        <w:rPr>
          <w:b/>
          <w:bCs/>
          <w:color w:val="000000" w:themeColor="text1"/>
          <w:sz w:val="28"/>
          <w:szCs w:val="28"/>
        </w:rPr>
        <w:t>Agency Funds - Restricted</w:t>
      </w:r>
    </w:p>
    <w:p w14:paraId="35075FD0" w14:textId="77777777" w:rsidR="00342AE9" w:rsidRDefault="00342AE9" w:rsidP="00342AE9">
      <w:pPr>
        <w:pStyle w:val="ListParagraph"/>
        <w:ind w:left="1080"/>
        <w:rPr>
          <w:color w:val="000000" w:themeColor="text1"/>
        </w:rPr>
      </w:pPr>
    </w:p>
    <w:p w14:paraId="00252C79" w14:textId="43F01B8B" w:rsidR="002D632C" w:rsidRPr="00D12C55" w:rsidRDefault="002D632C" w:rsidP="00D12C55">
      <w:pPr>
        <w:pStyle w:val="ListParagraph"/>
        <w:numPr>
          <w:ilvl w:val="0"/>
          <w:numId w:val="1"/>
        </w:numPr>
        <w:rPr>
          <w:color w:val="000000" w:themeColor="text1"/>
        </w:rPr>
      </w:pPr>
      <w:r w:rsidRPr="00B504B1">
        <w:rPr>
          <w:color w:val="000000" w:themeColor="text1"/>
        </w:rPr>
        <w:t xml:space="preserve">Restricted Agency Funds are endowed funds created by an agency to benefit that agency </w:t>
      </w:r>
      <w:r w:rsidRPr="00B504B1">
        <w:rPr>
          <w:b/>
          <w:bCs/>
          <w:i/>
          <w:iCs/>
          <w:color w:val="000000" w:themeColor="text1"/>
          <w:u w:val="single"/>
        </w:rPr>
        <w:t>in perpetuity</w:t>
      </w:r>
      <w:r w:rsidRPr="00B504B1">
        <w:rPr>
          <w:color w:val="000000" w:themeColor="text1"/>
        </w:rPr>
        <w:t>.  These funds may request one draw of up to 5% on a 12-month basis. This annual draw amount is calculated by averaging the last 12 quarter balances, or as many quarters that are available if fewer than 12 and subtracting any permanently restricted donations. 5% of that resulting balance would be available to be withdrawn. It is not required to take the full 5%. Only one draw may be made in the 12-month period.</w:t>
      </w:r>
    </w:p>
    <w:p w14:paraId="6A586F7B" w14:textId="733DCB93" w:rsidR="002D632C" w:rsidRPr="00D12C55" w:rsidRDefault="002D632C" w:rsidP="00D12C55">
      <w:pPr>
        <w:pStyle w:val="ListParagraph"/>
        <w:numPr>
          <w:ilvl w:val="0"/>
          <w:numId w:val="1"/>
        </w:numPr>
        <w:rPr>
          <w:color w:val="000000" w:themeColor="text1"/>
        </w:rPr>
      </w:pPr>
      <w:r w:rsidRPr="00B504B1">
        <w:rPr>
          <w:color w:val="000000" w:themeColor="text1"/>
        </w:rPr>
        <w:t>Organizations may request more than 5% as a “special request” to the BCF board. Special requests will be reviewed on a case-by-case basis and not expected to be regular.</w:t>
      </w:r>
    </w:p>
    <w:p w14:paraId="7FE1F6DB" w14:textId="05E8A0C4" w:rsidR="002D632C" w:rsidRPr="00B504B1" w:rsidRDefault="002D632C" w:rsidP="002D632C">
      <w:pPr>
        <w:pStyle w:val="ListParagraph"/>
        <w:numPr>
          <w:ilvl w:val="0"/>
          <w:numId w:val="1"/>
        </w:numPr>
        <w:rPr>
          <w:b/>
          <w:bCs/>
          <w:color w:val="000000" w:themeColor="text1"/>
        </w:rPr>
      </w:pPr>
      <w:r w:rsidRPr="00B504B1">
        <w:rPr>
          <w:color w:val="000000" w:themeColor="text1"/>
        </w:rPr>
        <w:t xml:space="preserve">Permanently restricted donations are donations made by </w:t>
      </w:r>
      <w:r w:rsidR="002A26D4">
        <w:rPr>
          <w:color w:val="000000" w:themeColor="text1"/>
        </w:rPr>
        <w:t xml:space="preserve">a </w:t>
      </w:r>
      <w:r w:rsidR="00847F2F">
        <w:rPr>
          <w:color w:val="000000" w:themeColor="text1"/>
        </w:rPr>
        <w:t xml:space="preserve">party other than the organization </w:t>
      </w:r>
      <w:r w:rsidRPr="00B504B1">
        <w:rPr>
          <w:color w:val="000000" w:themeColor="text1"/>
        </w:rPr>
        <w:t xml:space="preserve">to benefit the agency fund with the intent of long-term support of the organization. </w:t>
      </w:r>
    </w:p>
    <w:p w14:paraId="64FAB683" w14:textId="77777777" w:rsidR="002D632C" w:rsidRPr="00B504B1" w:rsidRDefault="002D632C" w:rsidP="002D632C">
      <w:pPr>
        <w:pStyle w:val="ListParagraph"/>
        <w:ind w:left="1080"/>
        <w:rPr>
          <w:b/>
          <w:bCs/>
          <w:color w:val="000000" w:themeColor="text1"/>
        </w:rPr>
      </w:pPr>
    </w:p>
    <w:p w14:paraId="1AC82D24" w14:textId="2EF24CA8" w:rsidR="002D632C" w:rsidRPr="00342AE9" w:rsidRDefault="002D632C" w:rsidP="00342AE9">
      <w:pPr>
        <w:pStyle w:val="ListParagraph"/>
        <w:numPr>
          <w:ilvl w:val="1"/>
          <w:numId w:val="11"/>
        </w:numPr>
        <w:rPr>
          <w:b/>
          <w:bCs/>
          <w:color w:val="000000" w:themeColor="text1"/>
          <w:sz w:val="28"/>
          <w:szCs w:val="28"/>
        </w:rPr>
      </w:pPr>
      <w:r w:rsidRPr="00342AE9">
        <w:rPr>
          <w:b/>
          <w:bCs/>
          <w:color w:val="000000" w:themeColor="text1"/>
          <w:sz w:val="28"/>
          <w:szCs w:val="28"/>
        </w:rPr>
        <w:t>Agency Funds - Unrestricted</w:t>
      </w:r>
    </w:p>
    <w:p w14:paraId="2510A1E9" w14:textId="77777777" w:rsidR="00342AE9" w:rsidRPr="00342AE9" w:rsidRDefault="00342AE9" w:rsidP="00342AE9">
      <w:pPr>
        <w:pStyle w:val="ListParagraph"/>
        <w:ind w:left="1170"/>
        <w:rPr>
          <w:b/>
          <w:bCs/>
          <w:color w:val="000000" w:themeColor="text1"/>
        </w:rPr>
      </w:pPr>
    </w:p>
    <w:p w14:paraId="1154EB24" w14:textId="32BA02F8" w:rsidR="002D632C" w:rsidRPr="00342AE9" w:rsidRDefault="002D632C" w:rsidP="00342AE9">
      <w:pPr>
        <w:ind w:left="810"/>
        <w:rPr>
          <w:b/>
          <w:bCs/>
          <w:color w:val="000000" w:themeColor="text1"/>
        </w:rPr>
      </w:pPr>
      <w:r w:rsidRPr="00342AE9">
        <w:rPr>
          <w:color w:val="000000" w:themeColor="text1"/>
        </w:rPr>
        <w:t xml:space="preserve">Agency Non-Endowed Funds are funds created by an agency to benefit that agency. </w:t>
      </w:r>
      <w:r w:rsidRPr="00342AE9">
        <w:rPr>
          <w:color w:val="000000" w:themeColor="text1"/>
          <w:u w:val="single"/>
        </w:rPr>
        <w:t>These funds do not annual have spending restrictions by BCF but are encouraged to draft internal spend policies.</w:t>
      </w:r>
      <w:r w:rsidRPr="00342AE9">
        <w:rPr>
          <w:color w:val="000000" w:themeColor="text1"/>
        </w:rPr>
        <w:t xml:space="preserve"> </w:t>
      </w:r>
      <w:r w:rsidR="00847F2F" w:rsidRPr="00342AE9">
        <w:rPr>
          <w:color w:val="000000" w:themeColor="text1"/>
        </w:rPr>
        <w:t xml:space="preserve">Contributions to the fund by parties other than the benefitting organization are permanently restricted. </w:t>
      </w:r>
    </w:p>
    <w:p w14:paraId="3979FC8A" w14:textId="77777777" w:rsidR="00847F2F" w:rsidRPr="00847F2F" w:rsidRDefault="00847F2F" w:rsidP="00847F2F">
      <w:pPr>
        <w:pStyle w:val="ListParagraph"/>
        <w:ind w:left="1170"/>
        <w:rPr>
          <w:b/>
          <w:bCs/>
          <w:color w:val="000000" w:themeColor="text1"/>
        </w:rPr>
      </w:pPr>
    </w:p>
    <w:p w14:paraId="01CD7A41" w14:textId="76D22F18" w:rsidR="002D632C" w:rsidRPr="00342AE9" w:rsidRDefault="002D632C" w:rsidP="00342AE9">
      <w:pPr>
        <w:pStyle w:val="ListParagraph"/>
        <w:numPr>
          <w:ilvl w:val="1"/>
          <w:numId w:val="11"/>
        </w:numPr>
        <w:rPr>
          <w:b/>
          <w:bCs/>
          <w:color w:val="000000" w:themeColor="text1"/>
          <w:sz w:val="28"/>
          <w:szCs w:val="28"/>
        </w:rPr>
      </w:pPr>
      <w:r w:rsidRPr="00342AE9">
        <w:rPr>
          <w:b/>
          <w:bCs/>
          <w:color w:val="000000" w:themeColor="text1"/>
          <w:sz w:val="28"/>
          <w:szCs w:val="28"/>
        </w:rPr>
        <w:t>Affiliate Funds</w:t>
      </w:r>
    </w:p>
    <w:p w14:paraId="11A56D6C" w14:textId="77777777" w:rsidR="00342AE9" w:rsidRPr="00342AE9" w:rsidRDefault="00342AE9" w:rsidP="00342AE9">
      <w:pPr>
        <w:pStyle w:val="ListParagraph"/>
        <w:ind w:left="1080"/>
        <w:rPr>
          <w:strike/>
          <w:color w:val="000000" w:themeColor="text1"/>
        </w:rPr>
      </w:pPr>
    </w:p>
    <w:p w14:paraId="42D7CF9A" w14:textId="7D90ED32" w:rsidR="002D632C" w:rsidRDefault="002D632C" w:rsidP="00342AE9">
      <w:pPr>
        <w:ind w:left="720"/>
        <w:rPr>
          <w:color w:val="000000" w:themeColor="text1"/>
        </w:rPr>
      </w:pPr>
      <w:r w:rsidRPr="00342AE9">
        <w:rPr>
          <w:color w:val="000000" w:themeColor="text1"/>
        </w:rPr>
        <w:t>Affiliate Funds at the Bartlesville Community Foundation may be a combination of invested and non-invested funds in endowment, non-endowed, and/or fiscal sponsor</w:t>
      </w:r>
      <w:r w:rsidR="00B504B1" w:rsidRPr="00342AE9">
        <w:rPr>
          <w:color w:val="000000" w:themeColor="text1"/>
        </w:rPr>
        <w:t>-like</w:t>
      </w:r>
      <w:r w:rsidRPr="00342AE9">
        <w:rPr>
          <w:color w:val="000000" w:themeColor="text1"/>
        </w:rPr>
        <w:t xml:space="preserve"> structure. </w:t>
      </w:r>
    </w:p>
    <w:p w14:paraId="3BE89B7D" w14:textId="77777777" w:rsidR="00BF5B38" w:rsidRPr="00342AE9" w:rsidRDefault="00BF5B38" w:rsidP="00342AE9">
      <w:pPr>
        <w:ind w:left="720"/>
        <w:rPr>
          <w:strike/>
          <w:color w:val="000000" w:themeColor="text1"/>
        </w:rPr>
      </w:pPr>
    </w:p>
    <w:p w14:paraId="6C44256E" w14:textId="0F48E015" w:rsidR="002D632C" w:rsidRDefault="002D632C" w:rsidP="00BF5B38">
      <w:pPr>
        <w:pStyle w:val="ListParagraph"/>
        <w:numPr>
          <w:ilvl w:val="0"/>
          <w:numId w:val="3"/>
        </w:numPr>
        <w:rPr>
          <w:color w:val="000000" w:themeColor="text1"/>
        </w:rPr>
      </w:pPr>
      <w:r w:rsidRPr="00B504B1">
        <w:rPr>
          <w:b/>
          <w:bCs/>
          <w:color w:val="000000" w:themeColor="text1"/>
          <w:u w:val="single"/>
        </w:rPr>
        <w:t>Affiliate Advisory Boards/Committees</w:t>
      </w:r>
      <w:r w:rsidRPr="00B504B1">
        <w:rPr>
          <w:color w:val="000000" w:themeColor="text1"/>
        </w:rPr>
        <w:t xml:space="preserve"> may draft their own spending guidelines for Affiliate Agency Endowment Funds to be reviewed and approved by the BCF board. However, the BCF recommends the guidelines as listed in this policy. </w:t>
      </w:r>
    </w:p>
    <w:p w14:paraId="79C9314F" w14:textId="77777777" w:rsidR="00BF5B38" w:rsidRPr="00BF5B38" w:rsidRDefault="00BF5B38" w:rsidP="00BF5B38">
      <w:pPr>
        <w:rPr>
          <w:color w:val="000000" w:themeColor="text1"/>
        </w:rPr>
      </w:pPr>
    </w:p>
    <w:p w14:paraId="0D5CDFAE" w14:textId="201FE75F" w:rsidR="002D632C" w:rsidRPr="00B504B1" w:rsidRDefault="00B504B1" w:rsidP="00BF5B38">
      <w:pPr>
        <w:pStyle w:val="ListParagraph"/>
        <w:numPr>
          <w:ilvl w:val="0"/>
          <w:numId w:val="3"/>
        </w:numPr>
        <w:rPr>
          <w:color w:val="000000" w:themeColor="text1"/>
        </w:rPr>
      </w:pPr>
      <w:r w:rsidRPr="00B504B1">
        <w:rPr>
          <w:b/>
          <w:bCs/>
          <w:color w:val="000000" w:themeColor="text1"/>
          <w:u w:val="single"/>
        </w:rPr>
        <w:t>Sub-component Funds:</w:t>
      </w:r>
      <w:r>
        <w:rPr>
          <w:color w:val="000000" w:themeColor="text1"/>
        </w:rPr>
        <w:t xml:space="preserve"> </w:t>
      </w:r>
      <w:r w:rsidR="002D632C" w:rsidRPr="00B504B1">
        <w:rPr>
          <w:color w:val="000000" w:themeColor="text1"/>
        </w:rPr>
        <w:t xml:space="preserve">Affiliate is encouraged to recruit component funds (sub-component of the BCF) and will align with the fee structure and spending expectations of this policy. Fees assessed to a sub-component fund shall be split 50/50 between BCF and affiliate.  </w:t>
      </w:r>
    </w:p>
    <w:p w14:paraId="5254DE98" w14:textId="2A1A05CB" w:rsidR="002D632C" w:rsidRDefault="002D632C" w:rsidP="002D632C">
      <w:pPr>
        <w:rPr>
          <w:b/>
          <w:bCs/>
          <w:color w:val="000000" w:themeColor="text1"/>
        </w:rPr>
      </w:pPr>
    </w:p>
    <w:p w14:paraId="1CEC4C15" w14:textId="77777777" w:rsidR="002D632C" w:rsidRPr="00342AE9" w:rsidRDefault="002D632C" w:rsidP="00342AE9">
      <w:pPr>
        <w:pStyle w:val="ListParagraph"/>
        <w:numPr>
          <w:ilvl w:val="1"/>
          <w:numId w:val="11"/>
        </w:numPr>
        <w:rPr>
          <w:b/>
          <w:bCs/>
          <w:color w:val="000000" w:themeColor="text1"/>
          <w:sz w:val="28"/>
          <w:szCs w:val="28"/>
        </w:rPr>
      </w:pPr>
      <w:r w:rsidRPr="00342AE9">
        <w:rPr>
          <w:b/>
          <w:bCs/>
          <w:color w:val="000000" w:themeColor="text1"/>
          <w:sz w:val="28"/>
          <w:szCs w:val="28"/>
        </w:rPr>
        <w:t>Donor Advised Funds</w:t>
      </w:r>
    </w:p>
    <w:p w14:paraId="7776C691" w14:textId="77777777" w:rsidR="00342AE9" w:rsidRDefault="00342AE9" w:rsidP="00342AE9">
      <w:pPr>
        <w:pStyle w:val="ListParagraph"/>
        <w:ind w:left="1080"/>
        <w:rPr>
          <w:color w:val="000000" w:themeColor="text1"/>
        </w:rPr>
      </w:pPr>
    </w:p>
    <w:p w14:paraId="302F7EEC" w14:textId="7ED97552" w:rsidR="002D632C" w:rsidRPr="00342AE9" w:rsidRDefault="002D632C" w:rsidP="00342AE9">
      <w:pPr>
        <w:ind w:left="720"/>
        <w:rPr>
          <w:color w:val="000000" w:themeColor="text1"/>
        </w:rPr>
      </w:pPr>
      <w:r w:rsidRPr="00342AE9">
        <w:rPr>
          <w:color w:val="000000" w:themeColor="text1"/>
        </w:rPr>
        <w:t xml:space="preserve">Donor Advised Funds (DAFs) are established by a donor and used to achieve the donor’s philanthropic goals. If no grants are written from the fund after a three-year timeframe, the BCF may contact the fund holder/advisor(s) to encourage use of the fund and </w:t>
      </w:r>
      <w:r w:rsidRPr="00342AE9">
        <w:rPr>
          <w:color w:val="000000" w:themeColor="text1"/>
        </w:rPr>
        <w:lastRenderedPageBreak/>
        <w:t>d</w:t>
      </w:r>
      <w:r w:rsidR="00847F2F" w:rsidRPr="00342AE9">
        <w:rPr>
          <w:color w:val="000000" w:themeColor="text1"/>
        </w:rPr>
        <w:t>iscuss</w:t>
      </w:r>
      <w:r w:rsidRPr="00342AE9">
        <w:rPr>
          <w:color w:val="000000" w:themeColor="text1"/>
        </w:rPr>
        <w:t xml:space="preserve"> the funds</w:t>
      </w:r>
      <w:r w:rsidR="00847F2F" w:rsidRPr="00342AE9">
        <w:rPr>
          <w:color w:val="000000" w:themeColor="text1"/>
        </w:rPr>
        <w:t>’</w:t>
      </w:r>
      <w:r w:rsidRPr="00342AE9">
        <w:rPr>
          <w:color w:val="000000" w:themeColor="text1"/>
        </w:rPr>
        <w:t xml:space="preserve"> intent. If no contact can be made between the BCF and the fund holder/advisor(s) after every possible communication attempt by the BCF, the Foundation board may vote to absorb the balance of the fund into the BCF’s general fund.</w:t>
      </w:r>
    </w:p>
    <w:p w14:paraId="1BB52D24" w14:textId="77777777" w:rsidR="002D632C" w:rsidRPr="00B504B1" w:rsidRDefault="002D632C" w:rsidP="002D632C">
      <w:pPr>
        <w:rPr>
          <w:b/>
          <w:bCs/>
          <w:color w:val="000000" w:themeColor="text1"/>
        </w:rPr>
      </w:pPr>
    </w:p>
    <w:p w14:paraId="10917FB8" w14:textId="77777777" w:rsidR="002D632C" w:rsidRPr="00342AE9" w:rsidRDefault="002D632C" w:rsidP="00342AE9">
      <w:pPr>
        <w:pStyle w:val="ListParagraph"/>
        <w:numPr>
          <w:ilvl w:val="1"/>
          <w:numId w:val="11"/>
        </w:numPr>
        <w:rPr>
          <w:b/>
          <w:bCs/>
          <w:color w:val="000000" w:themeColor="text1"/>
          <w:sz w:val="28"/>
          <w:szCs w:val="28"/>
        </w:rPr>
      </w:pPr>
      <w:r w:rsidRPr="00342AE9">
        <w:rPr>
          <w:b/>
          <w:bCs/>
          <w:color w:val="000000" w:themeColor="text1"/>
          <w:sz w:val="28"/>
          <w:szCs w:val="28"/>
        </w:rPr>
        <w:t>Scholarship Funds</w:t>
      </w:r>
    </w:p>
    <w:p w14:paraId="59CFCECF" w14:textId="77777777" w:rsidR="00342AE9" w:rsidRDefault="00342AE9" w:rsidP="00342AE9">
      <w:pPr>
        <w:ind w:left="810"/>
        <w:rPr>
          <w:color w:val="000000" w:themeColor="text1"/>
        </w:rPr>
      </w:pPr>
    </w:p>
    <w:p w14:paraId="3A46A698" w14:textId="3DC8C239" w:rsidR="002D632C" w:rsidRPr="00342AE9" w:rsidRDefault="002D632C" w:rsidP="00342AE9">
      <w:pPr>
        <w:ind w:left="810"/>
        <w:rPr>
          <w:b/>
          <w:bCs/>
          <w:strike/>
          <w:color w:val="000000" w:themeColor="text1"/>
        </w:rPr>
      </w:pPr>
      <w:r w:rsidRPr="00342AE9">
        <w:rPr>
          <w:color w:val="000000" w:themeColor="text1"/>
        </w:rPr>
        <w:t xml:space="preserve">Scholarship Funds established to support educational advancement. Criteria for scholarships awarded from these funds are outlined in the fund agreement. Annual spending from this fund is 5% of the average 12 quarter balance unless otherwise described in the fund agreement. </w:t>
      </w:r>
    </w:p>
    <w:p w14:paraId="4371ECBC" w14:textId="77777777" w:rsidR="002D632C" w:rsidRPr="00B504B1" w:rsidRDefault="002D632C" w:rsidP="002D632C">
      <w:pPr>
        <w:rPr>
          <w:b/>
          <w:bCs/>
          <w:color w:val="000000" w:themeColor="text1"/>
        </w:rPr>
      </w:pPr>
    </w:p>
    <w:p w14:paraId="0493C822" w14:textId="77777777" w:rsidR="002D632C" w:rsidRPr="00342AE9" w:rsidRDefault="002D632C" w:rsidP="00342AE9">
      <w:pPr>
        <w:pStyle w:val="ListParagraph"/>
        <w:numPr>
          <w:ilvl w:val="1"/>
          <w:numId w:val="11"/>
        </w:numPr>
        <w:rPr>
          <w:b/>
          <w:bCs/>
          <w:color w:val="000000" w:themeColor="text1"/>
          <w:sz w:val="28"/>
          <w:szCs w:val="28"/>
        </w:rPr>
      </w:pPr>
      <w:r w:rsidRPr="00342AE9">
        <w:rPr>
          <w:b/>
          <w:bCs/>
          <w:color w:val="000000" w:themeColor="text1"/>
          <w:sz w:val="28"/>
          <w:szCs w:val="28"/>
        </w:rPr>
        <w:t>Designated Funds</w:t>
      </w:r>
    </w:p>
    <w:p w14:paraId="5EA202B6" w14:textId="77777777" w:rsidR="00342AE9" w:rsidRDefault="00342AE9" w:rsidP="00342AE9">
      <w:pPr>
        <w:ind w:left="810"/>
        <w:rPr>
          <w:color w:val="000000" w:themeColor="text1"/>
        </w:rPr>
      </w:pPr>
    </w:p>
    <w:p w14:paraId="3471800B" w14:textId="2937D98F" w:rsidR="002D632C" w:rsidRPr="00342AE9" w:rsidRDefault="002D632C" w:rsidP="00342AE9">
      <w:pPr>
        <w:ind w:left="810"/>
        <w:rPr>
          <w:b/>
          <w:bCs/>
          <w:color w:val="000000" w:themeColor="text1"/>
        </w:rPr>
      </w:pPr>
      <w:r w:rsidRPr="00342AE9">
        <w:rPr>
          <w:color w:val="000000" w:themeColor="text1"/>
        </w:rPr>
        <w:t xml:space="preserve">Designated Funds are created by an organization or individual(s) to benefit a specifically defined charitable purpose </w:t>
      </w:r>
      <w:r w:rsidRPr="00342AE9">
        <w:rPr>
          <w:b/>
          <w:bCs/>
          <w:color w:val="000000" w:themeColor="text1"/>
          <w:u w:val="single"/>
        </w:rPr>
        <w:t>in perpetuity</w:t>
      </w:r>
      <w:r w:rsidRPr="00342AE9">
        <w:rPr>
          <w:color w:val="000000" w:themeColor="text1"/>
        </w:rPr>
        <w:t xml:space="preserve">. Details regarding the designation are outlined in the fund agreement. Annual spending from this fund is 5% of the fund’s average 12 quarter balance unless otherwise described in the fund agreement. </w:t>
      </w:r>
    </w:p>
    <w:p w14:paraId="0F617A93" w14:textId="77777777" w:rsidR="002D632C" w:rsidRPr="00B504B1" w:rsidRDefault="002D632C" w:rsidP="002D632C">
      <w:pPr>
        <w:rPr>
          <w:b/>
          <w:bCs/>
          <w:color w:val="000000" w:themeColor="text1"/>
        </w:rPr>
      </w:pPr>
    </w:p>
    <w:p w14:paraId="29A80982" w14:textId="630ACF9D" w:rsidR="002D632C" w:rsidRPr="00342AE9" w:rsidRDefault="002D632C" w:rsidP="00342AE9">
      <w:pPr>
        <w:pStyle w:val="ListParagraph"/>
        <w:numPr>
          <w:ilvl w:val="1"/>
          <w:numId w:val="11"/>
        </w:numPr>
        <w:rPr>
          <w:b/>
          <w:bCs/>
          <w:color w:val="000000" w:themeColor="text1"/>
          <w:sz w:val="28"/>
          <w:szCs w:val="28"/>
        </w:rPr>
      </w:pPr>
      <w:r w:rsidRPr="00342AE9">
        <w:rPr>
          <w:b/>
          <w:bCs/>
          <w:color w:val="000000" w:themeColor="text1"/>
          <w:sz w:val="28"/>
          <w:szCs w:val="28"/>
        </w:rPr>
        <w:t>Fiscal Sponsor</w:t>
      </w:r>
    </w:p>
    <w:p w14:paraId="322179C7" w14:textId="77777777" w:rsidR="00342AE9" w:rsidRDefault="00342AE9" w:rsidP="00342AE9">
      <w:pPr>
        <w:ind w:left="720"/>
        <w:rPr>
          <w:color w:val="000000" w:themeColor="text1"/>
        </w:rPr>
      </w:pPr>
    </w:p>
    <w:p w14:paraId="4E9A4525" w14:textId="2BFD5E90" w:rsidR="002D632C" w:rsidRPr="00342AE9" w:rsidRDefault="002D632C" w:rsidP="00342AE9">
      <w:pPr>
        <w:ind w:left="720"/>
        <w:rPr>
          <w:b/>
          <w:bCs/>
          <w:color w:val="000000" w:themeColor="text1"/>
          <w:u w:val="single"/>
        </w:rPr>
      </w:pPr>
      <w:r w:rsidRPr="00342AE9">
        <w:rPr>
          <w:color w:val="000000" w:themeColor="text1"/>
        </w:rPr>
        <w:t xml:space="preserve">Fiscal Sponsor funds are created to benefit a charitable project or initiative where the Bartlesville Community Foundation allows the charitable project or initiative to use its tax-exempt status. This is a fund that functions like the project or initiatives operating account and should adhere to the expectations of the Fiscal Sponsor Policy. </w:t>
      </w:r>
    </w:p>
    <w:p w14:paraId="197984D8" w14:textId="77777777" w:rsidR="002D632C" w:rsidRPr="00B504B1" w:rsidRDefault="002D632C" w:rsidP="002D632C">
      <w:pPr>
        <w:pStyle w:val="ListParagraph"/>
        <w:ind w:left="1080"/>
        <w:rPr>
          <w:b/>
          <w:bCs/>
          <w:color w:val="000000" w:themeColor="text1"/>
          <w:u w:val="single"/>
        </w:rPr>
      </w:pPr>
    </w:p>
    <w:p w14:paraId="0F5B80D9" w14:textId="3D3C9658" w:rsidR="002D632C" w:rsidRPr="00342AE9" w:rsidRDefault="002D632C" w:rsidP="00342AE9">
      <w:pPr>
        <w:pStyle w:val="ListParagraph"/>
        <w:numPr>
          <w:ilvl w:val="1"/>
          <w:numId w:val="11"/>
        </w:numPr>
        <w:rPr>
          <w:b/>
          <w:bCs/>
          <w:color w:val="000000" w:themeColor="text1"/>
          <w:sz w:val="28"/>
          <w:szCs w:val="28"/>
        </w:rPr>
      </w:pPr>
      <w:r w:rsidRPr="00342AE9">
        <w:rPr>
          <w:b/>
          <w:bCs/>
          <w:color w:val="000000" w:themeColor="text1"/>
          <w:sz w:val="28"/>
          <w:szCs w:val="28"/>
        </w:rPr>
        <w:t>Field of Interest Funds</w:t>
      </w:r>
    </w:p>
    <w:p w14:paraId="16EA4308" w14:textId="77777777" w:rsidR="00342AE9" w:rsidRDefault="00342AE9" w:rsidP="00342AE9">
      <w:pPr>
        <w:ind w:left="810"/>
        <w:rPr>
          <w:color w:val="000000" w:themeColor="text1"/>
        </w:rPr>
      </w:pPr>
    </w:p>
    <w:p w14:paraId="59935778" w14:textId="4F15EB21" w:rsidR="002D632C" w:rsidRPr="00342AE9" w:rsidRDefault="002D632C" w:rsidP="00342AE9">
      <w:pPr>
        <w:ind w:left="810"/>
        <w:rPr>
          <w:b/>
          <w:bCs/>
          <w:color w:val="000000" w:themeColor="text1"/>
        </w:rPr>
      </w:pPr>
      <w:r w:rsidRPr="00342AE9">
        <w:rPr>
          <w:color w:val="000000" w:themeColor="text1"/>
        </w:rPr>
        <w:t xml:space="preserve">Field of Interest Funds are created by a group or individual(s) to benefit a specific charitable purpose </w:t>
      </w:r>
      <w:r w:rsidRPr="00342AE9">
        <w:rPr>
          <w:b/>
          <w:bCs/>
          <w:color w:val="000000" w:themeColor="text1"/>
          <w:u w:val="single"/>
        </w:rPr>
        <w:t>in perpetuity</w:t>
      </w:r>
      <w:r w:rsidRPr="00342AE9">
        <w:rPr>
          <w:color w:val="000000" w:themeColor="text1"/>
        </w:rPr>
        <w:t xml:space="preserve">. Field of Interest Funds can be invested or non-invested and generally require a formal grant application and grant awards process. Details regarding the beneficiary of field of interest grants (youth, elderly, arts, etc.) are outlined in the fund agreement. Annual spending from this fund is 5% of the fund’s average 12 quarter balance unless otherwise described in the fund agreement. </w:t>
      </w:r>
    </w:p>
    <w:p w14:paraId="274EE73B" w14:textId="77777777" w:rsidR="0012594B" w:rsidRPr="00B504B1" w:rsidRDefault="0012594B" w:rsidP="0012594B">
      <w:pPr>
        <w:pStyle w:val="ListParagraph"/>
        <w:ind w:left="1170"/>
        <w:rPr>
          <w:b/>
          <w:bCs/>
          <w:color w:val="000000" w:themeColor="text1"/>
        </w:rPr>
      </w:pPr>
    </w:p>
    <w:p w14:paraId="21D9ED68" w14:textId="32DD90F1" w:rsidR="0012594B" w:rsidRDefault="0012594B" w:rsidP="0012594B">
      <w:pPr>
        <w:rPr>
          <w:b/>
          <w:bCs/>
          <w:color w:val="000000" w:themeColor="text1"/>
        </w:rPr>
      </w:pPr>
    </w:p>
    <w:p w14:paraId="790E3BEC" w14:textId="6D5D7FE1" w:rsidR="00847F2F" w:rsidRDefault="00847F2F" w:rsidP="0012594B">
      <w:pPr>
        <w:rPr>
          <w:b/>
          <w:bCs/>
          <w:color w:val="000000" w:themeColor="text1"/>
        </w:rPr>
      </w:pPr>
    </w:p>
    <w:p w14:paraId="36FFD985" w14:textId="104883AF" w:rsidR="00D12C55" w:rsidRDefault="00D12C55" w:rsidP="0012594B">
      <w:pPr>
        <w:rPr>
          <w:b/>
          <w:bCs/>
          <w:color w:val="000000" w:themeColor="text1"/>
        </w:rPr>
      </w:pPr>
    </w:p>
    <w:p w14:paraId="48F0852C" w14:textId="4E31D674" w:rsidR="00D12C55" w:rsidRDefault="00D12C55" w:rsidP="0012594B">
      <w:pPr>
        <w:rPr>
          <w:b/>
          <w:bCs/>
          <w:color w:val="000000" w:themeColor="text1"/>
        </w:rPr>
      </w:pPr>
    </w:p>
    <w:p w14:paraId="68FD0870" w14:textId="77777777" w:rsidR="00D12C55" w:rsidRDefault="00D12C55" w:rsidP="0012594B">
      <w:pPr>
        <w:rPr>
          <w:b/>
          <w:bCs/>
          <w:color w:val="000000" w:themeColor="text1"/>
        </w:rPr>
      </w:pPr>
    </w:p>
    <w:p w14:paraId="28E4B5E8" w14:textId="77777777" w:rsidR="0012594B" w:rsidRPr="00B504B1" w:rsidRDefault="0012594B" w:rsidP="0012594B">
      <w:pPr>
        <w:jc w:val="center"/>
        <w:rPr>
          <w:b/>
          <w:bCs/>
          <w:color w:val="000000" w:themeColor="text1"/>
          <w:sz w:val="32"/>
          <w:szCs w:val="32"/>
        </w:rPr>
      </w:pPr>
    </w:p>
    <w:p w14:paraId="155DF6D9" w14:textId="77777777" w:rsidR="00D12C55" w:rsidRDefault="00D12C55" w:rsidP="0012594B">
      <w:pPr>
        <w:jc w:val="center"/>
        <w:rPr>
          <w:b/>
          <w:bCs/>
          <w:color w:val="000000" w:themeColor="text1"/>
          <w:sz w:val="32"/>
          <w:szCs w:val="32"/>
        </w:rPr>
      </w:pPr>
    </w:p>
    <w:p w14:paraId="6FE2586E" w14:textId="4E39AAE5" w:rsidR="0012594B" w:rsidRPr="00B504B1" w:rsidRDefault="0012594B" w:rsidP="0012594B">
      <w:pPr>
        <w:jc w:val="center"/>
        <w:rPr>
          <w:b/>
          <w:bCs/>
          <w:color w:val="000000" w:themeColor="text1"/>
          <w:sz w:val="32"/>
          <w:szCs w:val="32"/>
        </w:rPr>
      </w:pPr>
      <w:r w:rsidRPr="00B504B1">
        <w:rPr>
          <w:b/>
          <w:bCs/>
          <w:color w:val="000000" w:themeColor="text1"/>
          <w:sz w:val="32"/>
          <w:szCs w:val="32"/>
        </w:rPr>
        <w:t>Spending Policy Detailed by Fund Type</w:t>
      </w:r>
    </w:p>
    <w:p w14:paraId="59676DF1" w14:textId="77777777" w:rsidR="0012594B" w:rsidRPr="00B504B1" w:rsidRDefault="0012594B" w:rsidP="0012594B">
      <w:pPr>
        <w:rPr>
          <w:b/>
          <w:bCs/>
          <w:color w:val="000000" w:themeColor="text1"/>
        </w:rPr>
      </w:pPr>
    </w:p>
    <w:tbl>
      <w:tblPr>
        <w:tblW w:w="10890" w:type="dxa"/>
        <w:tblInd w:w="-635" w:type="dxa"/>
        <w:tblLook w:val="04A0" w:firstRow="1" w:lastRow="0" w:firstColumn="1" w:lastColumn="0" w:noHBand="0" w:noVBand="1"/>
      </w:tblPr>
      <w:tblGrid>
        <w:gridCol w:w="2610"/>
        <w:gridCol w:w="1710"/>
        <w:gridCol w:w="1980"/>
        <w:gridCol w:w="1260"/>
        <w:gridCol w:w="946"/>
        <w:gridCol w:w="1192"/>
        <w:gridCol w:w="1192"/>
      </w:tblGrid>
      <w:tr w:rsidR="00B504B1" w:rsidRPr="00B504B1" w14:paraId="1ABF4C67" w14:textId="77777777" w:rsidTr="0012634F">
        <w:trPr>
          <w:trHeight w:val="136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1ABA9" w14:textId="77777777" w:rsidR="0012594B" w:rsidRPr="00B504B1" w:rsidRDefault="0012594B" w:rsidP="0012634F">
            <w:pPr>
              <w:jc w:val="center"/>
              <w:rPr>
                <w:rFonts w:ascii="Calibri" w:eastAsia="Times New Roman" w:hAnsi="Calibri" w:cs="Calibri"/>
                <w:b/>
                <w:bCs/>
                <w:color w:val="000000" w:themeColor="text1"/>
              </w:rPr>
            </w:pPr>
            <w:r w:rsidRPr="00B504B1">
              <w:rPr>
                <w:rFonts w:ascii="Calibri" w:eastAsia="Times New Roman" w:hAnsi="Calibri" w:cs="Calibri"/>
                <w:b/>
                <w:bCs/>
                <w:color w:val="000000" w:themeColor="text1"/>
              </w:rPr>
              <w:t>Fund Type</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25536EED" w14:textId="77777777" w:rsidR="0012594B" w:rsidRPr="00B504B1" w:rsidRDefault="0012594B" w:rsidP="0012634F">
            <w:pPr>
              <w:jc w:val="center"/>
              <w:rPr>
                <w:rFonts w:ascii="Calibri" w:eastAsia="Times New Roman" w:hAnsi="Calibri" w:cs="Calibri"/>
                <w:b/>
                <w:bCs/>
                <w:color w:val="000000" w:themeColor="text1"/>
              </w:rPr>
            </w:pPr>
            <w:r w:rsidRPr="00B504B1">
              <w:rPr>
                <w:rFonts w:ascii="Calibri" w:eastAsia="Times New Roman" w:hAnsi="Calibri" w:cs="Calibri"/>
                <w:b/>
                <w:bCs/>
                <w:color w:val="000000" w:themeColor="text1"/>
              </w:rPr>
              <w:t>Annual Fee</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0CD34FBF" w14:textId="77777777" w:rsidR="0012594B" w:rsidRPr="00B504B1" w:rsidRDefault="0012594B" w:rsidP="0012634F">
            <w:pPr>
              <w:jc w:val="center"/>
              <w:rPr>
                <w:rFonts w:ascii="Calibri" w:eastAsia="Times New Roman" w:hAnsi="Calibri" w:cs="Calibri"/>
                <w:b/>
                <w:bCs/>
                <w:color w:val="000000" w:themeColor="text1"/>
              </w:rPr>
            </w:pPr>
          </w:p>
          <w:p w14:paraId="21A6F71B" w14:textId="77777777" w:rsidR="0012594B" w:rsidRPr="00B504B1" w:rsidRDefault="0012594B" w:rsidP="0012634F">
            <w:pPr>
              <w:jc w:val="center"/>
              <w:rPr>
                <w:rFonts w:ascii="Calibri" w:eastAsia="Times New Roman" w:hAnsi="Calibri" w:cs="Calibri"/>
                <w:b/>
                <w:bCs/>
                <w:color w:val="000000" w:themeColor="text1"/>
              </w:rPr>
            </w:pPr>
          </w:p>
          <w:p w14:paraId="1D627A70" w14:textId="77777777" w:rsidR="0012594B" w:rsidRPr="00B504B1" w:rsidRDefault="0012594B" w:rsidP="0012634F">
            <w:pPr>
              <w:jc w:val="center"/>
              <w:rPr>
                <w:rFonts w:ascii="Calibri" w:eastAsia="Times New Roman" w:hAnsi="Calibri" w:cs="Calibri"/>
                <w:b/>
                <w:bCs/>
                <w:color w:val="000000" w:themeColor="text1"/>
              </w:rPr>
            </w:pPr>
            <w:r w:rsidRPr="00B504B1">
              <w:rPr>
                <w:rFonts w:ascii="Calibri" w:eastAsia="Times New Roman" w:hAnsi="Calibri" w:cs="Calibri"/>
                <w:b/>
                <w:bCs/>
                <w:color w:val="000000" w:themeColor="text1"/>
              </w:rPr>
              <w:t>Minimum Annual BCF Administrative Fee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5FFD3EE" w14:textId="77777777" w:rsidR="0012594B" w:rsidRPr="00B504B1" w:rsidRDefault="0012594B" w:rsidP="0012634F">
            <w:pPr>
              <w:jc w:val="center"/>
              <w:rPr>
                <w:rFonts w:ascii="Calibri" w:eastAsia="Times New Roman" w:hAnsi="Calibri" w:cs="Calibri"/>
                <w:b/>
                <w:bCs/>
                <w:color w:val="000000" w:themeColor="text1"/>
              </w:rPr>
            </w:pPr>
            <w:r w:rsidRPr="00B504B1">
              <w:rPr>
                <w:rFonts w:ascii="Calibri" w:eastAsia="Times New Roman" w:hAnsi="Calibri" w:cs="Calibri"/>
                <w:b/>
                <w:bCs/>
                <w:color w:val="000000" w:themeColor="text1"/>
              </w:rPr>
              <w:t xml:space="preserve">Invested? * </w:t>
            </w:r>
          </w:p>
        </w:tc>
        <w:tc>
          <w:tcPr>
            <w:tcW w:w="1050" w:type="dxa"/>
            <w:tcBorders>
              <w:top w:val="single" w:sz="4" w:space="0" w:color="auto"/>
              <w:left w:val="nil"/>
              <w:bottom w:val="single" w:sz="4" w:space="0" w:color="auto"/>
              <w:right w:val="single" w:sz="4" w:space="0" w:color="auto"/>
            </w:tcBorders>
          </w:tcPr>
          <w:p w14:paraId="227248F9" w14:textId="77777777" w:rsidR="0012594B" w:rsidRPr="00B504B1" w:rsidRDefault="0012594B" w:rsidP="0012634F">
            <w:pPr>
              <w:jc w:val="center"/>
              <w:rPr>
                <w:rFonts w:ascii="Calibri" w:eastAsia="Times New Roman" w:hAnsi="Calibri" w:cs="Calibri"/>
                <w:b/>
                <w:bCs/>
                <w:color w:val="000000" w:themeColor="text1"/>
              </w:rPr>
            </w:pPr>
            <w:r w:rsidRPr="00B504B1">
              <w:rPr>
                <w:rFonts w:ascii="Calibri" w:eastAsia="Times New Roman" w:hAnsi="Calibri" w:cs="Calibri"/>
                <w:b/>
                <w:bCs/>
                <w:color w:val="000000" w:themeColor="text1"/>
              </w:rPr>
              <w:t>Annual Spend Limit **</w:t>
            </w:r>
          </w:p>
        </w:tc>
        <w:tc>
          <w:tcPr>
            <w:tcW w:w="1192" w:type="dxa"/>
            <w:tcBorders>
              <w:top w:val="single" w:sz="4" w:space="0" w:color="auto"/>
              <w:left w:val="nil"/>
              <w:bottom w:val="single" w:sz="4" w:space="0" w:color="auto"/>
              <w:right w:val="single" w:sz="4" w:space="0" w:color="auto"/>
            </w:tcBorders>
          </w:tcPr>
          <w:p w14:paraId="1566476F" w14:textId="77777777" w:rsidR="0012594B" w:rsidRPr="00B504B1" w:rsidRDefault="0012594B" w:rsidP="0012634F">
            <w:pPr>
              <w:jc w:val="center"/>
              <w:rPr>
                <w:rFonts w:ascii="Calibri" w:eastAsia="Times New Roman" w:hAnsi="Calibri" w:cs="Calibri"/>
                <w:b/>
                <w:bCs/>
                <w:color w:val="000000" w:themeColor="text1"/>
              </w:rPr>
            </w:pPr>
            <w:r w:rsidRPr="00B504B1">
              <w:rPr>
                <w:rFonts w:ascii="Calibri" w:eastAsia="Times New Roman" w:hAnsi="Calibri" w:cs="Calibri"/>
                <w:b/>
                <w:bCs/>
                <w:color w:val="000000" w:themeColor="text1"/>
              </w:rPr>
              <w:t>Minimum Opening Deposit</w:t>
            </w:r>
          </w:p>
        </w:tc>
        <w:tc>
          <w:tcPr>
            <w:tcW w:w="1088" w:type="dxa"/>
            <w:tcBorders>
              <w:top w:val="single" w:sz="4" w:space="0" w:color="auto"/>
              <w:left w:val="nil"/>
              <w:bottom w:val="single" w:sz="4" w:space="0" w:color="auto"/>
              <w:right w:val="single" w:sz="4" w:space="0" w:color="auto"/>
            </w:tcBorders>
          </w:tcPr>
          <w:p w14:paraId="0FCF3209" w14:textId="77777777" w:rsidR="0012594B" w:rsidRPr="00B504B1" w:rsidRDefault="0012594B" w:rsidP="0012634F">
            <w:pPr>
              <w:jc w:val="center"/>
              <w:rPr>
                <w:rFonts w:ascii="Calibri" w:eastAsia="Times New Roman" w:hAnsi="Calibri" w:cs="Calibri"/>
                <w:b/>
                <w:bCs/>
                <w:color w:val="000000" w:themeColor="text1"/>
              </w:rPr>
            </w:pPr>
            <w:r w:rsidRPr="00B504B1">
              <w:rPr>
                <w:rFonts w:ascii="Calibri" w:eastAsia="Times New Roman" w:hAnsi="Calibri" w:cs="Calibri"/>
                <w:b/>
                <w:bCs/>
                <w:color w:val="000000" w:themeColor="text1"/>
              </w:rPr>
              <w:t>Minimum Balance to Stay Open</w:t>
            </w:r>
          </w:p>
        </w:tc>
      </w:tr>
      <w:tr w:rsidR="00B504B1" w:rsidRPr="00B504B1" w14:paraId="42EBAD4A" w14:textId="77777777" w:rsidTr="0012634F">
        <w:trPr>
          <w:trHeight w:val="32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37E2C9AF"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Agency Restricted Funds</w:t>
            </w:r>
          </w:p>
        </w:tc>
        <w:tc>
          <w:tcPr>
            <w:tcW w:w="1710" w:type="dxa"/>
            <w:tcBorders>
              <w:top w:val="nil"/>
              <w:left w:val="nil"/>
              <w:bottom w:val="single" w:sz="4" w:space="0" w:color="auto"/>
              <w:right w:val="single" w:sz="4" w:space="0" w:color="auto"/>
            </w:tcBorders>
            <w:shd w:val="clear" w:color="auto" w:fill="auto"/>
            <w:noWrap/>
            <w:vAlign w:val="bottom"/>
            <w:hideMark/>
          </w:tcPr>
          <w:p w14:paraId="1260163E"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w:t>
            </w:r>
          </w:p>
        </w:tc>
        <w:tc>
          <w:tcPr>
            <w:tcW w:w="1980" w:type="dxa"/>
            <w:tcBorders>
              <w:top w:val="nil"/>
              <w:left w:val="nil"/>
              <w:bottom w:val="single" w:sz="4" w:space="0" w:color="auto"/>
              <w:right w:val="single" w:sz="4" w:space="0" w:color="auto"/>
            </w:tcBorders>
            <w:shd w:val="clear" w:color="auto" w:fill="auto"/>
            <w:noWrap/>
            <w:vAlign w:val="bottom"/>
            <w:hideMark/>
          </w:tcPr>
          <w:p w14:paraId="0B420FEF"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0069FB46"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Yes/No</w:t>
            </w:r>
          </w:p>
        </w:tc>
        <w:tc>
          <w:tcPr>
            <w:tcW w:w="1050" w:type="dxa"/>
            <w:tcBorders>
              <w:top w:val="nil"/>
              <w:left w:val="nil"/>
              <w:bottom w:val="single" w:sz="4" w:space="0" w:color="auto"/>
              <w:right w:val="single" w:sz="4" w:space="0" w:color="auto"/>
            </w:tcBorders>
          </w:tcPr>
          <w:p w14:paraId="7CD96FC9"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5%</w:t>
            </w:r>
          </w:p>
        </w:tc>
        <w:tc>
          <w:tcPr>
            <w:tcW w:w="1192" w:type="dxa"/>
            <w:tcBorders>
              <w:top w:val="nil"/>
              <w:left w:val="nil"/>
              <w:bottom w:val="single" w:sz="4" w:space="0" w:color="auto"/>
              <w:right w:val="single" w:sz="4" w:space="0" w:color="auto"/>
            </w:tcBorders>
          </w:tcPr>
          <w:p w14:paraId="3CA27D8A"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$5,000</w:t>
            </w:r>
          </w:p>
        </w:tc>
        <w:tc>
          <w:tcPr>
            <w:tcW w:w="1088" w:type="dxa"/>
            <w:tcBorders>
              <w:top w:val="nil"/>
              <w:left w:val="nil"/>
              <w:bottom w:val="single" w:sz="4" w:space="0" w:color="auto"/>
              <w:right w:val="single" w:sz="4" w:space="0" w:color="auto"/>
            </w:tcBorders>
          </w:tcPr>
          <w:p w14:paraId="40B6E13D"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$200</w:t>
            </w:r>
          </w:p>
        </w:tc>
      </w:tr>
      <w:tr w:rsidR="00B504B1" w:rsidRPr="00B504B1" w14:paraId="02AB1A6D" w14:textId="77777777" w:rsidTr="0012634F">
        <w:trPr>
          <w:trHeight w:val="32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6663B856"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Agency Unrestricted Funds</w:t>
            </w:r>
          </w:p>
        </w:tc>
        <w:tc>
          <w:tcPr>
            <w:tcW w:w="1710" w:type="dxa"/>
            <w:tcBorders>
              <w:top w:val="nil"/>
              <w:left w:val="nil"/>
              <w:bottom w:val="single" w:sz="4" w:space="0" w:color="auto"/>
              <w:right w:val="single" w:sz="4" w:space="0" w:color="auto"/>
            </w:tcBorders>
            <w:shd w:val="clear" w:color="auto" w:fill="auto"/>
            <w:noWrap/>
            <w:vAlign w:val="bottom"/>
            <w:hideMark/>
          </w:tcPr>
          <w:p w14:paraId="1AA3ADE3"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w:t>
            </w:r>
          </w:p>
        </w:tc>
        <w:tc>
          <w:tcPr>
            <w:tcW w:w="1980" w:type="dxa"/>
            <w:tcBorders>
              <w:top w:val="nil"/>
              <w:left w:val="nil"/>
              <w:bottom w:val="single" w:sz="4" w:space="0" w:color="auto"/>
              <w:right w:val="single" w:sz="4" w:space="0" w:color="auto"/>
            </w:tcBorders>
            <w:shd w:val="clear" w:color="auto" w:fill="auto"/>
            <w:noWrap/>
            <w:vAlign w:val="bottom"/>
            <w:hideMark/>
          </w:tcPr>
          <w:p w14:paraId="14528D7F"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3E0B052C"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Yes/No</w:t>
            </w:r>
          </w:p>
        </w:tc>
        <w:tc>
          <w:tcPr>
            <w:tcW w:w="1050" w:type="dxa"/>
            <w:tcBorders>
              <w:top w:val="nil"/>
              <w:left w:val="nil"/>
              <w:bottom w:val="single" w:sz="4" w:space="0" w:color="auto"/>
              <w:right w:val="single" w:sz="4" w:space="0" w:color="auto"/>
            </w:tcBorders>
          </w:tcPr>
          <w:p w14:paraId="47D24020"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n/a</w:t>
            </w:r>
          </w:p>
        </w:tc>
        <w:tc>
          <w:tcPr>
            <w:tcW w:w="1192" w:type="dxa"/>
            <w:tcBorders>
              <w:top w:val="nil"/>
              <w:left w:val="nil"/>
              <w:bottom w:val="single" w:sz="4" w:space="0" w:color="auto"/>
              <w:right w:val="single" w:sz="4" w:space="0" w:color="auto"/>
            </w:tcBorders>
          </w:tcPr>
          <w:p w14:paraId="67F2EEFA"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$5,000</w:t>
            </w:r>
          </w:p>
        </w:tc>
        <w:tc>
          <w:tcPr>
            <w:tcW w:w="1088" w:type="dxa"/>
            <w:tcBorders>
              <w:top w:val="nil"/>
              <w:left w:val="nil"/>
              <w:bottom w:val="single" w:sz="4" w:space="0" w:color="auto"/>
              <w:right w:val="single" w:sz="4" w:space="0" w:color="auto"/>
            </w:tcBorders>
          </w:tcPr>
          <w:p w14:paraId="6DC6E77A"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$200</w:t>
            </w:r>
          </w:p>
        </w:tc>
      </w:tr>
      <w:tr w:rsidR="00B504B1" w:rsidRPr="00B504B1" w14:paraId="6C3D04AE" w14:textId="77777777" w:rsidTr="0012634F">
        <w:trPr>
          <w:trHeight w:val="102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792178AC"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Affiliate Funds</w:t>
            </w:r>
          </w:p>
        </w:tc>
        <w:tc>
          <w:tcPr>
            <w:tcW w:w="1710" w:type="dxa"/>
            <w:tcBorders>
              <w:top w:val="nil"/>
              <w:left w:val="nil"/>
              <w:bottom w:val="single" w:sz="4" w:space="0" w:color="auto"/>
              <w:right w:val="single" w:sz="4" w:space="0" w:color="auto"/>
            </w:tcBorders>
            <w:shd w:val="clear" w:color="auto" w:fill="auto"/>
            <w:vAlign w:val="bottom"/>
            <w:hideMark/>
          </w:tcPr>
          <w:p w14:paraId="141F5DB8"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 on first $1 Million .5% on balance over $1 Million</w:t>
            </w:r>
          </w:p>
        </w:tc>
        <w:tc>
          <w:tcPr>
            <w:tcW w:w="1980" w:type="dxa"/>
            <w:tcBorders>
              <w:top w:val="nil"/>
              <w:left w:val="nil"/>
              <w:bottom w:val="single" w:sz="4" w:space="0" w:color="auto"/>
              <w:right w:val="single" w:sz="4" w:space="0" w:color="auto"/>
            </w:tcBorders>
            <w:shd w:val="clear" w:color="auto" w:fill="auto"/>
            <w:noWrap/>
            <w:vAlign w:val="bottom"/>
            <w:hideMark/>
          </w:tcPr>
          <w:p w14:paraId="125B105F"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4A8FCCA6"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Yes/No</w:t>
            </w:r>
          </w:p>
        </w:tc>
        <w:tc>
          <w:tcPr>
            <w:tcW w:w="1050" w:type="dxa"/>
            <w:tcBorders>
              <w:top w:val="nil"/>
              <w:left w:val="nil"/>
              <w:bottom w:val="single" w:sz="4" w:space="0" w:color="auto"/>
              <w:right w:val="single" w:sz="4" w:space="0" w:color="auto"/>
            </w:tcBorders>
          </w:tcPr>
          <w:p w14:paraId="09AAE8BB"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n/a</w:t>
            </w:r>
          </w:p>
        </w:tc>
        <w:tc>
          <w:tcPr>
            <w:tcW w:w="1192" w:type="dxa"/>
            <w:tcBorders>
              <w:top w:val="nil"/>
              <w:left w:val="nil"/>
              <w:bottom w:val="single" w:sz="4" w:space="0" w:color="auto"/>
              <w:right w:val="single" w:sz="4" w:space="0" w:color="auto"/>
            </w:tcBorders>
          </w:tcPr>
          <w:p w14:paraId="7CAEFB09"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$2,000</w:t>
            </w:r>
          </w:p>
        </w:tc>
        <w:tc>
          <w:tcPr>
            <w:tcW w:w="1088" w:type="dxa"/>
            <w:tcBorders>
              <w:top w:val="nil"/>
              <w:left w:val="nil"/>
              <w:bottom w:val="single" w:sz="4" w:space="0" w:color="auto"/>
              <w:right w:val="single" w:sz="4" w:space="0" w:color="auto"/>
            </w:tcBorders>
          </w:tcPr>
          <w:p w14:paraId="5FE195CF"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$200</w:t>
            </w:r>
          </w:p>
        </w:tc>
      </w:tr>
      <w:tr w:rsidR="00B504B1" w:rsidRPr="00B504B1" w14:paraId="60D02515" w14:textId="77777777" w:rsidTr="0012634F">
        <w:trPr>
          <w:trHeight w:val="32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7BE98948"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Invested Donor Advised Funds</w:t>
            </w:r>
          </w:p>
        </w:tc>
        <w:tc>
          <w:tcPr>
            <w:tcW w:w="1710" w:type="dxa"/>
            <w:tcBorders>
              <w:top w:val="nil"/>
              <w:left w:val="nil"/>
              <w:bottom w:val="single" w:sz="4" w:space="0" w:color="auto"/>
              <w:right w:val="single" w:sz="4" w:space="0" w:color="auto"/>
            </w:tcBorders>
            <w:shd w:val="clear" w:color="auto" w:fill="auto"/>
            <w:noWrap/>
            <w:vAlign w:val="bottom"/>
            <w:hideMark/>
          </w:tcPr>
          <w:p w14:paraId="49449BF2"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w:t>
            </w:r>
          </w:p>
        </w:tc>
        <w:tc>
          <w:tcPr>
            <w:tcW w:w="1980" w:type="dxa"/>
            <w:tcBorders>
              <w:top w:val="nil"/>
              <w:left w:val="nil"/>
              <w:bottom w:val="single" w:sz="4" w:space="0" w:color="auto"/>
              <w:right w:val="single" w:sz="4" w:space="0" w:color="auto"/>
            </w:tcBorders>
            <w:shd w:val="clear" w:color="auto" w:fill="auto"/>
            <w:noWrap/>
            <w:vAlign w:val="bottom"/>
            <w:hideMark/>
          </w:tcPr>
          <w:p w14:paraId="681F7871"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1A5C659D"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Yes</w:t>
            </w:r>
          </w:p>
        </w:tc>
        <w:tc>
          <w:tcPr>
            <w:tcW w:w="1050" w:type="dxa"/>
            <w:tcBorders>
              <w:top w:val="nil"/>
              <w:left w:val="nil"/>
              <w:bottom w:val="single" w:sz="4" w:space="0" w:color="auto"/>
              <w:right w:val="single" w:sz="4" w:space="0" w:color="auto"/>
            </w:tcBorders>
          </w:tcPr>
          <w:p w14:paraId="65B2F45A"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n/a</w:t>
            </w:r>
          </w:p>
        </w:tc>
        <w:tc>
          <w:tcPr>
            <w:tcW w:w="1192" w:type="dxa"/>
            <w:tcBorders>
              <w:top w:val="nil"/>
              <w:left w:val="nil"/>
              <w:bottom w:val="single" w:sz="4" w:space="0" w:color="auto"/>
              <w:right w:val="single" w:sz="4" w:space="0" w:color="auto"/>
            </w:tcBorders>
          </w:tcPr>
          <w:p w14:paraId="1D550301"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$2,000</w:t>
            </w:r>
          </w:p>
        </w:tc>
        <w:tc>
          <w:tcPr>
            <w:tcW w:w="1088" w:type="dxa"/>
            <w:tcBorders>
              <w:top w:val="nil"/>
              <w:left w:val="nil"/>
              <w:bottom w:val="single" w:sz="4" w:space="0" w:color="auto"/>
              <w:right w:val="single" w:sz="4" w:space="0" w:color="auto"/>
            </w:tcBorders>
          </w:tcPr>
          <w:p w14:paraId="6160FCD3"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$200</w:t>
            </w:r>
          </w:p>
        </w:tc>
      </w:tr>
      <w:tr w:rsidR="00B504B1" w:rsidRPr="00B504B1" w14:paraId="12E90221" w14:textId="77777777" w:rsidTr="0012634F">
        <w:trPr>
          <w:trHeight w:val="320"/>
        </w:trPr>
        <w:tc>
          <w:tcPr>
            <w:tcW w:w="2610" w:type="dxa"/>
            <w:tcBorders>
              <w:top w:val="nil"/>
              <w:left w:val="single" w:sz="4" w:space="0" w:color="auto"/>
              <w:bottom w:val="single" w:sz="4" w:space="0" w:color="auto"/>
              <w:right w:val="single" w:sz="4" w:space="0" w:color="auto"/>
            </w:tcBorders>
            <w:shd w:val="clear" w:color="auto" w:fill="auto"/>
            <w:noWrap/>
            <w:vAlign w:val="bottom"/>
          </w:tcPr>
          <w:p w14:paraId="2C2B8F31"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Non-Invested Donor Advised Fund</w:t>
            </w:r>
          </w:p>
        </w:tc>
        <w:tc>
          <w:tcPr>
            <w:tcW w:w="1710" w:type="dxa"/>
            <w:tcBorders>
              <w:top w:val="nil"/>
              <w:left w:val="nil"/>
              <w:bottom w:val="single" w:sz="4" w:space="0" w:color="auto"/>
              <w:right w:val="single" w:sz="4" w:space="0" w:color="auto"/>
            </w:tcBorders>
            <w:shd w:val="clear" w:color="auto" w:fill="auto"/>
            <w:noWrap/>
            <w:vAlign w:val="bottom"/>
          </w:tcPr>
          <w:p w14:paraId="1E21083F"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w:t>
            </w:r>
          </w:p>
        </w:tc>
        <w:tc>
          <w:tcPr>
            <w:tcW w:w="1980" w:type="dxa"/>
            <w:tcBorders>
              <w:top w:val="nil"/>
              <w:left w:val="nil"/>
              <w:bottom w:val="single" w:sz="4" w:space="0" w:color="auto"/>
              <w:right w:val="single" w:sz="4" w:space="0" w:color="auto"/>
            </w:tcBorders>
            <w:shd w:val="clear" w:color="auto" w:fill="auto"/>
            <w:noWrap/>
            <w:vAlign w:val="bottom"/>
          </w:tcPr>
          <w:p w14:paraId="74460A43"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$150 Plus $250 start-up fee</w:t>
            </w:r>
          </w:p>
        </w:tc>
        <w:tc>
          <w:tcPr>
            <w:tcW w:w="1260" w:type="dxa"/>
            <w:tcBorders>
              <w:top w:val="nil"/>
              <w:left w:val="nil"/>
              <w:bottom w:val="single" w:sz="4" w:space="0" w:color="auto"/>
              <w:right w:val="single" w:sz="4" w:space="0" w:color="auto"/>
            </w:tcBorders>
            <w:shd w:val="clear" w:color="auto" w:fill="auto"/>
            <w:noWrap/>
            <w:vAlign w:val="bottom"/>
          </w:tcPr>
          <w:p w14:paraId="3E04A114"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No</w:t>
            </w:r>
          </w:p>
        </w:tc>
        <w:tc>
          <w:tcPr>
            <w:tcW w:w="1050" w:type="dxa"/>
            <w:tcBorders>
              <w:top w:val="nil"/>
              <w:left w:val="nil"/>
              <w:bottom w:val="single" w:sz="4" w:space="0" w:color="auto"/>
              <w:right w:val="single" w:sz="4" w:space="0" w:color="auto"/>
            </w:tcBorders>
          </w:tcPr>
          <w:p w14:paraId="52A4561B"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n/a</w:t>
            </w:r>
          </w:p>
        </w:tc>
        <w:tc>
          <w:tcPr>
            <w:tcW w:w="1192" w:type="dxa"/>
            <w:tcBorders>
              <w:top w:val="nil"/>
              <w:left w:val="nil"/>
              <w:bottom w:val="single" w:sz="4" w:space="0" w:color="auto"/>
              <w:right w:val="single" w:sz="4" w:space="0" w:color="auto"/>
            </w:tcBorders>
          </w:tcPr>
          <w:p w14:paraId="05881B7C"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$2,000</w:t>
            </w:r>
          </w:p>
        </w:tc>
        <w:tc>
          <w:tcPr>
            <w:tcW w:w="1088" w:type="dxa"/>
            <w:tcBorders>
              <w:top w:val="nil"/>
              <w:left w:val="nil"/>
              <w:bottom w:val="single" w:sz="4" w:space="0" w:color="auto"/>
              <w:right w:val="single" w:sz="4" w:space="0" w:color="auto"/>
            </w:tcBorders>
          </w:tcPr>
          <w:p w14:paraId="51931713"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$200</w:t>
            </w:r>
          </w:p>
        </w:tc>
      </w:tr>
      <w:tr w:rsidR="00B504B1" w:rsidRPr="00B504B1" w14:paraId="05A46DA0" w14:textId="77777777" w:rsidTr="0012634F">
        <w:trPr>
          <w:trHeight w:val="32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100377BE"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Scholarship Funds</w:t>
            </w:r>
          </w:p>
        </w:tc>
        <w:tc>
          <w:tcPr>
            <w:tcW w:w="1710" w:type="dxa"/>
            <w:tcBorders>
              <w:top w:val="nil"/>
              <w:left w:val="nil"/>
              <w:bottom w:val="single" w:sz="4" w:space="0" w:color="auto"/>
              <w:right w:val="single" w:sz="4" w:space="0" w:color="auto"/>
            </w:tcBorders>
            <w:shd w:val="clear" w:color="auto" w:fill="auto"/>
            <w:noWrap/>
            <w:vAlign w:val="bottom"/>
            <w:hideMark/>
          </w:tcPr>
          <w:p w14:paraId="70158000"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w:t>
            </w:r>
          </w:p>
        </w:tc>
        <w:tc>
          <w:tcPr>
            <w:tcW w:w="1980" w:type="dxa"/>
            <w:tcBorders>
              <w:top w:val="nil"/>
              <w:left w:val="nil"/>
              <w:bottom w:val="single" w:sz="4" w:space="0" w:color="auto"/>
              <w:right w:val="single" w:sz="4" w:space="0" w:color="auto"/>
            </w:tcBorders>
            <w:shd w:val="clear" w:color="auto" w:fill="auto"/>
            <w:noWrap/>
            <w:vAlign w:val="bottom"/>
            <w:hideMark/>
          </w:tcPr>
          <w:p w14:paraId="03DC60E3"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$250</w:t>
            </w:r>
          </w:p>
        </w:tc>
        <w:tc>
          <w:tcPr>
            <w:tcW w:w="1260" w:type="dxa"/>
            <w:tcBorders>
              <w:top w:val="nil"/>
              <w:left w:val="nil"/>
              <w:bottom w:val="single" w:sz="4" w:space="0" w:color="auto"/>
              <w:right w:val="single" w:sz="4" w:space="0" w:color="auto"/>
            </w:tcBorders>
            <w:shd w:val="clear" w:color="auto" w:fill="auto"/>
            <w:noWrap/>
            <w:vAlign w:val="bottom"/>
            <w:hideMark/>
          </w:tcPr>
          <w:p w14:paraId="387D92B2"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Yes/No</w:t>
            </w:r>
          </w:p>
        </w:tc>
        <w:tc>
          <w:tcPr>
            <w:tcW w:w="1050" w:type="dxa"/>
            <w:tcBorders>
              <w:top w:val="nil"/>
              <w:left w:val="nil"/>
              <w:bottom w:val="single" w:sz="4" w:space="0" w:color="auto"/>
              <w:right w:val="single" w:sz="4" w:space="0" w:color="auto"/>
            </w:tcBorders>
          </w:tcPr>
          <w:p w14:paraId="44719347"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5%</w:t>
            </w:r>
          </w:p>
        </w:tc>
        <w:tc>
          <w:tcPr>
            <w:tcW w:w="1192" w:type="dxa"/>
            <w:tcBorders>
              <w:top w:val="nil"/>
              <w:left w:val="nil"/>
              <w:bottom w:val="single" w:sz="4" w:space="0" w:color="auto"/>
              <w:right w:val="single" w:sz="4" w:space="0" w:color="auto"/>
            </w:tcBorders>
          </w:tcPr>
          <w:p w14:paraId="542BD1C0"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$5,000 **</w:t>
            </w:r>
          </w:p>
        </w:tc>
        <w:tc>
          <w:tcPr>
            <w:tcW w:w="1088" w:type="dxa"/>
            <w:tcBorders>
              <w:top w:val="nil"/>
              <w:left w:val="nil"/>
              <w:bottom w:val="single" w:sz="4" w:space="0" w:color="auto"/>
              <w:right w:val="single" w:sz="4" w:space="0" w:color="auto"/>
            </w:tcBorders>
          </w:tcPr>
          <w:p w14:paraId="301A8D1D"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$500</w:t>
            </w:r>
          </w:p>
        </w:tc>
      </w:tr>
      <w:tr w:rsidR="00B504B1" w:rsidRPr="00B504B1" w14:paraId="044E39BD" w14:textId="77777777" w:rsidTr="0012634F">
        <w:trPr>
          <w:trHeight w:val="32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100E4FAC"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Designated Funds</w:t>
            </w:r>
          </w:p>
        </w:tc>
        <w:tc>
          <w:tcPr>
            <w:tcW w:w="1710" w:type="dxa"/>
            <w:tcBorders>
              <w:top w:val="nil"/>
              <w:left w:val="nil"/>
              <w:bottom w:val="single" w:sz="4" w:space="0" w:color="auto"/>
              <w:right w:val="single" w:sz="4" w:space="0" w:color="auto"/>
            </w:tcBorders>
            <w:shd w:val="clear" w:color="auto" w:fill="auto"/>
            <w:noWrap/>
            <w:vAlign w:val="bottom"/>
            <w:hideMark/>
          </w:tcPr>
          <w:p w14:paraId="101323F9"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w:t>
            </w:r>
          </w:p>
        </w:tc>
        <w:tc>
          <w:tcPr>
            <w:tcW w:w="1980" w:type="dxa"/>
            <w:tcBorders>
              <w:top w:val="nil"/>
              <w:left w:val="nil"/>
              <w:bottom w:val="single" w:sz="4" w:space="0" w:color="auto"/>
              <w:right w:val="single" w:sz="4" w:space="0" w:color="auto"/>
            </w:tcBorders>
            <w:shd w:val="clear" w:color="auto" w:fill="auto"/>
            <w:noWrap/>
            <w:vAlign w:val="bottom"/>
            <w:hideMark/>
          </w:tcPr>
          <w:p w14:paraId="4957BA8F"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459CD525"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Yes/No</w:t>
            </w:r>
          </w:p>
        </w:tc>
        <w:tc>
          <w:tcPr>
            <w:tcW w:w="1050" w:type="dxa"/>
            <w:tcBorders>
              <w:top w:val="nil"/>
              <w:left w:val="nil"/>
              <w:bottom w:val="single" w:sz="4" w:space="0" w:color="auto"/>
              <w:right w:val="single" w:sz="4" w:space="0" w:color="auto"/>
            </w:tcBorders>
          </w:tcPr>
          <w:p w14:paraId="2CA9B413"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5%</w:t>
            </w:r>
          </w:p>
        </w:tc>
        <w:tc>
          <w:tcPr>
            <w:tcW w:w="1192" w:type="dxa"/>
            <w:tcBorders>
              <w:top w:val="nil"/>
              <w:left w:val="nil"/>
              <w:bottom w:val="single" w:sz="4" w:space="0" w:color="auto"/>
              <w:right w:val="single" w:sz="4" w:space="0" w:color="auto"/>
            </w:tcBorders>
          </w:tcPr>
          <w:p w14:paraId="056E0942"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$5,000 **</w:t>
            </w:r>
          </w:p>
        </w:tc>
        <w:tc>
          <w:tcPr>
            <w:tcW w:w="1088" w:type="dxa"/>
            <w:tcBorders>
              <w:top w:val="nil"/>
              <w:left w:val="nil"/>
              <w:bottom w:val="single" w:sz="4" w:space="0" w:color="auto"/>
              <w:right w:val="single" w:sz="4" w:space="0" w:color="auto"/>
            </w:tcBorders>
          </w:tcPr>
          <w:p w14:paraId="6965DFF9"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$200</w:t>
            </w:r>
          </w:p>
        </w:tc>
      </w:tr>
      <w:tr w:rsidR="00B504B1" w:rsidRPr="00B504B1" w14:paraId="591663A9" w14:textId="77777777" w:rsidTr="0012634F">
        <w:trPr>
          <w:trHeight w:val="102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4809B8D0"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Fiscal Sponsor Funds</w:t>
            </w:r>
          </w:p>
        </w:tc>
        <w:tc>
          <w:tcPr>
            <w:tcW w:w="1710" w:type="dxa"/>
            <w:tcBorders>
              <w:top w:val="nil"/>
              <w:left w:val="nil"/>
              <w:bottom w:val="single" w:sz="4" w:space="0" w:color="auto"/>
              <w:right w:val="single" w:sz="4" w:space="0" w:color="auto"/>
            </w:tcBorders>
            <w:shd w:val="clear" w:color="auto" w:fill="auto"/>
            <w:vAlign w:val="bottom"/>
            <w:hideMark/>
          </w:tcPr>
          <w:p w14:paraId="3803E366"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4% on all income &amp; $2 per transaction over 50 transactions</w:t>
            </w:r>
          </w:p>
        </w:tc>
        <w:tc>
          <w:tcPr>
            <w:tcW w:w="1980" w:type="dxa"/>
            <w:tcBorders>
              <w:top w:val="nil"/>
              <w:left w:val="nil"/>
              <w:bottom w:val="single" w:sz="4" w:space="0" w:color="auto"/>
              <w:right w:val="single" w:sz="4" w:space="0" w:color="auto"/>
            </w:tcBorders>
            <w:shd w:val="clear" w:color="auto" w:fill="auto"/>
            <w:noWrap/>
            <w:vAlign w:val="bottom"/>
            <w:hideMark/>
          </w:tcPr>
          <w:p w14:paraId="08377FBF"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$200</w:t>
            </w:r>
          </w:p>
        </w:tc>
        <w:tc>
          <w:tcPr>
            <w:tcW w:w="1260" w:type="dxa"/>
            <w:tcBorders>
              <w:top w:val="nil"/>
              <w:left w:val="nil"/>
              <w:bottom w:val="single" w:sz="4" w:space="0" w:color="auto"/>
              <w:right w:val="single" w:sz="4" w:space="0" w:color="auto"/>
            </w:tcBorders>
            <w:shd w:val="clear" w:color="auto" w:fill="auto"/>
            <w:noWrap/>
            <w:vAlign w:val="bottom"/>
            <w:hideMark/>
          </w:tcPr>
          <w:p w14:paraId="542C84FF"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No</w:t>
            </w:r>
          </w:p>
        </w:tc>
        <w:tc>
          <w:tcPr>
            <w:tcW w:w="1050" w:type="dxa"/>
            <w:tcBorders>
              <w:top w:val="nil"/>
              <w:left w:val="nil"/>
              <w:bottom w:val="single" w:sz="4" w:space="0" w:color="auto"/>
              <w:right w:val="single" w:sz="4" w:space="0" w:color="auto"/>
            </w:tcBorders>
          </w:tcPr>
          <w:p w14:paraId="4AF716D5"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n/a</w:t>
            </w:r>
          </w:p>
        </w:tc>
        <w:tc>
          <w:tcPr>
            <w:tcW w:w="1192" w:type="dxa"/>
            <w:tcBorders>
              <w:top w:val="nil"/>
              <w:left w:val="nil"/>
              <w:bottom w:val="single" w:sz="4" w:space="0" w:color="auto"/>
              <w:right w:val="single" w:sz="4" w:space="0" w:color="auto"/>
            </w:tcBorders>
          </w:tcPr>
          <w:p w14:paraId="0433CE50"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$1,000</w:t>
            </w:r>
          </w:p>
        </w:tc>
        <w:tc>
          <w:tcPr>
            <w:tcW w:w="1088" w:type="dxa"/>
            <w:tcBorders>
              <w:top w:val="nil"/>
              <w:left w:val="nil"/>
              <w:bottom w:val="single" w:sz="4" w:space="0" w:color="auto"/>
              <w:right w:val="single" w:sz="4" w:space="0" w:color="auto"/>
            </w:tcBorders>
          </w:tcPr>
          <w:p w14:paraId="527E79E0"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$300</w:t>
            </w:r>
          </w:p>
        </w:tc>
      </w:tr>
      <w:tr w:rsidR="00B504B1" w:rsidRPr="00B504B1" w14:paraId="605DA873" w14:textId="77777777" w:rsidTr="0012634F">
        <w:trPr>
          <w:trHeight w:val="32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4AFA29B4"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Field of Interest Funds</w:t>
            </w:r>
          </w:p>
        </w:tc>
        <w:tc>
          <w:tcPr>
            <w:tcW w:w="1710" w:type="dxa"/>
            <w:tcBorders>
              <w:top w:val="nil"/>
              <w:left w:val="nil"/>
              <w:bottom w:val="single" w:sz="4" w:space="0" w:color="auto"/>
              <w:right w:val="single" w:sz="4" w:space="0" w:color="auto"/>
            </w:tcBorders>
            <w:shd w:val="clear" w:color="auto" w:fill="auto"/>
            <w:noWrap/>
            <w:vAlign w:val="bottom"/>
            <w:hideMark/>
          </w:tcPr>
          <w:p w14:paraId="7A1EBA06"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w:t>
            </w:r>
          </w:p>
        </w:tc>
        <w:tc>
          <w:tcPr>
            <w:tcW w:w="1980" w:type="dxa"/>
            <w:tcBorders>
              <w:top w:val="nil"/>
              <w:left w:val="nil"/>
              <w:bottom w:val="single" w:sz="4" w:space="0" w:color="auto"/>
              <w:right w:val="single" w:sz="4" w:space="0" w:color="auto"/>
            </w:tcBorders>
            <w:shd w:val="clear" w:color="auto" w:fill="auto"/>
            <w:noWrap/>
            <w:vAlign w:val="bottom"/>
            <w:hideMark/>
          </w:tcPr>
          <w:p w14:paraId="07D37E01"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5795AFB9"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Yes/No</w:t>
            </w:r>
          </w:p>
        </w:tc>
        <w:tc>
          <w:tcPr>
            <w:tcW w:w="1050" w:type="dxa"/>
            <w:tcBorders>
              <w:top w:val="nil"/>
              <w:left w:val="nil"/>
              <w:bottom w:val="single" w:sz="4" w:space="0" w:color="auto"/>
              <w:right w:val="single" w:sz="4" w:space="0" w:color="auto"/>
            </w:tcBorders>
          </w:tcPr>
          <w:p w14:paraId="2483315D"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5%</w:t>
            </w:r>
          </w:p>
        </w:tc>
        <w:tc>
          <w:tcPr>
            <w:tcW w:w="1192" w:type="dxa"/>
            <w:tcBorders>
              <w:top w:val="nil"/>
              <w:left w:val="nil"/>
              <w:bottom w:val="single" w:sz="4" w:space="0" w:color="auto"/>
              <w:right w:val="single" w:sz="4" w:space="0" w:color="auto"/>
            </w:tcBorders>
          </w:tcPr>
          <w:p w14:paraId="58097880"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$5,000</w:t>
            </w:r>
          </w:p>
        </w:tc>
        <w:tc>
          <w:tcPr>
            <w:tcW w:w="1088" w:type="dxa"/>
            <w:tcBorders>
              <w:top w:val="nil"/>
              <w:left w:val="nil"/>
              <w:bottom w:val="single" w:sz="4" w:space="0" w:color="auto"/>
              <w:right w:val="single" w:sz="4" w:space="0" w:color="auto"/>
            </w:tcBorders>
          </w:tcPr>
          <w:p w14:paraId="7E60BDC8" w14:textId="77777777" w:rsidR="0012594B" w:rsidRPr="00B504B1" w:rsidRDefault="0012594B" w:rsidP="0012634F">
            <w:pPr>
              <w:jc w:val="center"/>
              <w:rPr>
                <w:rFonts w:ascii="Calibri" w:eastAsia="Times New Roman" w:hAnsi="Calibri" w:cs="Calibri"/>
                <w:color w:val="000000" w:themeColor="text1"/>
              </w:rPr>
            </w:pPr>
            <w:r w:rsidRPr="00B504B1">
              <w:rPr>
                <w:rFonts w:ascii="Calibri" w:eastAsia="Times New Roman" w:hAnsi="Calibri" w:cs="Calibri"/>
                <w:color w:val="000000" w:themeColor="text1"/>
              </w:rPr>
              <w:t>$200</w:t>
            </w:r>
          </w:p>
        </w:tc>
      </w:tr>
    </w:tbl>
    <w:p w14:paraId="04143B4B" w14:textId="77777777" w:rsidR="0012594B" w:rsidRPr="00B504B1" w:rsidRDefault="0012594B" w:rsidP="0012594B">
      <w:pPr>
        <w:jc w:val="center"/>
        <w:rPr>
          <w:b/>
          <w:bCs/>
          <w:color w:val="000000" w:themeColor="text1"/>
        </w:rPr>
      </w:pPr>
    </w:p>
    <w:p w14:paraId="173354DC" w14:textId="77777777" w:rsidR="0012594B" w:rsidRPr="00B504B1" w:rsidRDefault="0012594B" w:rsidP="0012594B">
      <w:pPr>
        <w:rPr>
          <w:color w:val="000000" w:themeColor="text1"/>
        </w:rPr>
      </w:pPr>
    </w:p>
    <w:p w14:paraId="274B40A2" w14:textId="77777777" w:rsidR="0012594B" w:rsidRPr="00B504B1" w:rsidRDefault="0012594B" w:rsidP="0012594B">
      <w:pPr>
        <w:rPr>
          <w:color w:val="000000" w:themeColor="text1"/>
        </w:rPr>
      </w:pPr>
      <w:r w:rsidRPr="00B504B1">
        <w:rPr>
          <w:color w:val="000000" w:themeColor="text1"/>
        </w:rPr>
        <w:t>* See above pages for more detail. All funds that have elected to be in an investment pool are charged an investment fee from the financial institution in addition to the BCF administrative fee. Minimum balance for a fund to stay invested is $2,000.</w:t>
      </w:r>
    </w:p>
    <w:p w14:paraId="0CFB4FFC" w14:textId="77777777" w:rsidR="0012594B" w:rsidRPr="00B504B1" w:rsidRDefault="0012594B" w:rsidP="0012594B">
      <w:pPr>
        <w:rPr>
          <w:color w:val="000000" w:themeColor="text1"/>
        </w:rPr>
      </w:pPr>
      <w:r w:rsidRPr="00B504B1">
        <w:rPr>
          <w:color w:val="000000" w:themeColor="text1"/>
        </w:rPr>
        <w:t xml:space="preserve">** May vary based on fund agreement and donor intent </w:t>
      </w:r>
    </w:p>
    <w:p w14:paraId="1C75D7BE" w14:textId="190989D8" w:rsidR="0012594B" w:rsidRPr="00B504B1" w:rsidRDefault="0012594B" w:rsidP="0012594B">
      <w:pPr>
        <w:rPr>
          <w:b/>
          <w:bCs/>
          <w:color w:val="000000" w:themeColor="text1"/>
        </w:rPr>
      </w:pPr>
    </w:p>
    <w:p w14:paraId="1DF9DAEB" w14:textId="15502CBC" w:rsidR="0012594B" w:rsidRPr="00B504B1" w:rsidRDefault="0012594B" w:rsidP="0012594B">
      <w:pPr>
        <w:rPr>
          <w:b/>
          <w:bCs/>
          <w:color w:val="000000" w:themeColor="text1"/>
        </w:rPr>
      </w:pPr>
    </w:p>
    <w:p w14:paraId="3FD0E716" w14:textId="4C3E1913" w:rsidR="0012594B" w:rsidRPr="00B504B1" w:rsidRDefault="0012594B" w:rsidP="0012594B">
      <w:pPr>
        <w:rPr>
          <w:b/>
          <w:bCs/>
          <w:color w:val="000000" w:themeColor="text1"/>
        </w:rPr>
      </w:pPr>
    </w:p>
    <w:p w14:paraId="0554BED4" w14:textId="77777777" w:rsidR="0012594B" w:rsidRPr="00B504B1" w:rsidRDefault="0012594B" w:rsidP="0012594B">
      <w:pPr>
        <w:rPr>
          <w:b/>
          <w:bCs/>
          <w:color w:val="000000" w:themeColor="text1"/>
        </w:rPr>
      </w:pPr>
    </w:p>
    <w:p w14:paraId="1B0CCBBF" w14:textId="70FC67A4" w:rsidR="002D632C" w:rsidRDefault="002D632C" w:rsidP="00BF5B38">
      <w:pPr>
        <w:pStyle w:val="ListParagraph"/>
        <w:ind w:left="0"/>
        <w:rPr>
          <w:b/>
          <w:bCs/>
          <w:color w:val="000000" w:themeColor="text1"/>
          <w:u w:val="single"/>
        </w:rPr>
      </w:pPr>
    </w:p>
    <w:p w14:paraId="1E20EFB9" w14:textId="77777777" w:rsidR="00BF5B38" w:rsidRPr="00B504B1" w:rsidRDefault="00BF5B38" w:rsidP="00BF5B38">
      <w:pPr>
        <w:pStyle w:val="ListParagraph"/>
        <w:ind w:left="0"/>
        <w:rPr>
          <w:b/>
          <w:bCs/>
          <w:color w:val="000000" w:themeColor="text1"/>
          <w:u w:val="single"/>
        </w:rPr>
      </w:pPr>
    </w:p>
    <w:p w14:paraId="43C4E93A" w14:textId="77777777" w:rsidR="002D632C" w:rsidRPr="00B504B1" w:rsidRDefault="002D632C" w:rsidP="002D632C">
      <w:pPr>
        <w:pStyle w:val="ListParagraph"/>
        <w:ind w:left="1170"/>
        <w:rPr>
          <w:b/>
          <w:bCs/>
          <w:color w:val="000000" w:themeColor="text1"/>
        </w:rPr>
      </w:pPr>
    </w:p>
    <w:p w14:paraId="048F7934" w14:textId="77777777" w:rsidR="002D632C" w:rsidRPr="005A649B" w:rsidRDefault="002D632C" w:rsidP="005A649B">
      <w:pPr>
        <w:pStyle w:val="ListParagraph"/>
        <w:numPr>
          <w:ilvl w:val="0"/>
          <w:numId w:val="11"/>
        </w:numPr>
        <w:rPr>
          <w:rFonts w:cs="Times New Roman (Body CS)"/>
          <w:b/>
          <w:bCs/>
          <w:caps/>
          <w:color w:val="000000" w:themeColor="text1"/>
          <w:sz w:val="28"/>
        </w:rPr>
      </w:pPr>
      <w:r w:rsidRPr="005A649B">
        <w:rPr>
          <w:rFonts w:cs="Times New Roman (Body CS)"/>
          <w:b/>
          <w:bCs/>
          <w:caps/>
          <w:color w:val="000000" w:themeColor="text1"/>
          <w:sz w:val="28"/>
        </w:rPr>
        <w:lastRenderedPageBreak/>
        <w:t xml:space="preserve">Calculating Administrative Fees </w:t>
      </w:r>
    </w:p>
    <w:p w14:paraId="0B7941BA" w14:textId="77777777" w:rsidR="005A649B" w:rsidRDefault="005A649B" w:rsidP="002D632C">
      <w:pPr>
        <w:pStyle w:val="ListParagraph"/>
        <w:ind w:left="0"/>
        <w:rPr>
          <w:color w:val="000000" w:themeColor="text1"/>
        </w:rPr>
      </w:pPr>
    </w:p>
    <w:p w14:paraId="0F2974DE" w14:textId="15D39BB0" w:rsidR="002D632C" w:rsidRDefault="002D632C" w:rsidP="002D632C">
      <w:pPr>
        <w:pStyle w:val="ListParagraph"/>
        <w:ind w:left="0"/>
        <w:rPr>
          <w:color w:val="000000" w:themeColor="text1"/>
        </w:rPr>
      </w:pPr>
      <w:r w:rsidRPr="00B504B1">
        <w:rPr>
          <w:color w:val="000000" w:themeColor="text1"/>
        </w:rPr>
        <w:t xml:space="preserve">Administrative fees are fund specific. Fees are calculated and charged quarterly. The fund may elect to pay administrative fees by invoice upon approval by Foundation staff. Funds may be assessed fees by percent balance or percent income. </w:t>
      </w:r>
    </w:p>
    <w:p w14:paraId="72087478" w14:textId="77777777" w:rsidR="00BF5B38" w:rsidRPr="00B504B1" w:rsidRDefault="00BF5B38" w:rsidP="002D632C">
      <w:pPr>
        <w:pStyle w:val="ListParagraph"/>
        <w:ind w:left="0"/>
        <w:rPr>
          <w:color w:val="000000" w:themeColor="text1"/>
        </w:rPr>
      </w:pPr>
    </w:p>
    <w:p w14:paraId="5E71C3D3" w14:textId="61960D92" w:rsidR="00BF5B38" w:rsidRPr="00D12C55" w:rsidRDefault="002D632C" w:rsidP="00BF5B38">
      <w:pPr>
        <w:pStyle w:val="ListParagraph"/>
        <w:numPr>
          <w:ilvl w:val="0"/>
          <w:numId w:val="10"/>
        </w:numPr>
        <w:rPr>
          <w:color w:val="000000" w:themeColor="text1"/>
        </w:rPr>
      </w:pPr>
      <w:r w:rsidRPr="00B504B1">
        <w:rPr>
          <w:color w:val="000000" w:themeColor="text1"/>
        </w:rPr>
        <w:t>Percent balance is calculated as ¼ of the annual fee charged using the quarter end balance</w:t>
      </w:r>
    </w:p>
    <w:p w14:paraId="5E2ECD7E" w14:textId="77777777" w:rsidR="002D632C" w:rsidRPr="00B504B1" w:rsidRDefault="002D632C" w:rsidP="002D632C">
      <w:pPr>
        <w:pStyle w:val="ListParagraph"/>
        <w:numPr>
          <w:ilvl w:val="0"/>
          <w:numId w:val="10"/>
        </w:numPr>
        <w:rPr>
          <w:color w:val="000000" w:themeColor="text1"/>
        </w:rPr>
      </w:pPr>
      <w:r w:rsidRPr="00B504B1">
        <w:rPr>
          <w:color w:val="000000" w:themeColor="text1"/>
        </w:rPr>
        <w:t>Percent income fees (fiscal sponsors) are calculated as a percent of the deposits in that quarter plus any applicable transaction fees.</w:t>
      </w:r>
    </w:p>
    <w:p w14:paraId="448E307E" w14:textId="77777777" w:rsidR="002D632C" w:rsidRPr="00B504B1" w:rsidRDefault="002D632C" w:rsidP="002D632C">
      <w:pPr>
        <w:pStyle w:val="ListParagraph"/>
        <w:ind w:left="0"/>
        <w:rPr>
          <w:color w:val="000000" w:themeColor="text1"/>
        </w:rPr>
      </w:pPr>
    </w:p>
    <w:p w14:paraId="1DE723D3" w14:textId="113B8E07" w:rsidR="002D632C" w:rsidRPr="005A649B" w:rsidRDefault="002D632C" w:rsidP="005A649B">
      <w:pPr>
        <w:pStyle w:val="ListParagraph"/>
        <w:numPr>
          <w:ilvl w:val="0"/>
          <w:numId w:val="11"/>
        </w:numPr>
        <w:rPr>
          <w:rFonts w:cs="Times New Roman (Body CS)"/>
          <w:b/>
          <w:bCs/>
          <w:caps/>
          <w:color w:val="000000" w:themeColor="text1"/>
          <w:sz w:val="28"/>
        </w:rPr>
      </w:pPr>
      <w:r w:rsidRPr="005A649B">
        <w:rPr>
          <w:rFonts w:cs="Times New Roman (Body CS)"/>
          <w:b/>
          <w:bCs/>
          <w:caps/>
          <w:color w:val="000000" w:themeColor="text1"/>
          <w:sz w:val="28"/>
        </w:rPr>
        <w:t>Calculating Annual Draws by Percent</w:t>
      </w:r>
    </w:p>
    <w:p w14:paraId="06ED28E1" w14:textId="77777777" w:rsidR="005A649B" w:rsidRDefault="005A649B" w:rsidP="002D632C">
      <w:pPr>
        <w:pStyle w:val="ListParagraph"/>
        <w:ind w:left="0"/>
        <w:rPr>
          <w:color w:val="000000" w:themeColor="text1"/>
        </w:rPr>
      </w:pPr>
    </w:p>
    <w:p w14:paraId="47560528" w14:textId="25FA1B11" w:rsidR="002D632C" w:rsidRPr="00B504B1" w:rsidRDefault="002D632C" w:rsidP="002D632C">
      <w:pPr>
        <w:pStyle w:val="ListParagraph"/>
        <w:ind w:left="0"/>
        <w:rPr>
          <w:color w:val="000000" w:themeColor="text1"/>
        </w:rPr>
      </w:pPr>
      <w:r w:rsidRPr="00B504B1">
        <w:rPr>
          <w:color w:val="000000" w:themeColor="text1"/>
        </w:rPr>
        <w:t>The annual draw for an endowed fund is calculated by averaging the last 12 quarter (3 year) balances and subtracting any restricted contributions. If 12 quarters of balance history is not available, the existing history will be used. 5% of this value is the qualified amount that may be withdrawn. Taking a withdrawal is not required annually and may be done less frequently than once every 12 months, but not more.</w:t>
      </w:r>
    </w:p>
    <w:p w14:paraId="4A10AF84" w14:textId="77777777" w:rsidR="002D632C" w:rsidRPr="00B504B1" w:rsidRDefault="002D632C" w:rsidP="002D632C">
      <w:pPr>
        <w:pStyle w:val="ListParagraph"/>
        <w:ind w:left="0"/>
        <w:rPr>
          <w:color w:val="000000" w:themeColor="text1"/>
        </w:rPr>
      </w:pPr>
    </w:p>
    <w:p w14:paraId="7D2A2893" w14:textId="77777777" w:rsidR="002D632C" w:rsidRPr="00B504B1" w:rsidRDefault="002D632C" w:rsidP="002D632C">
      <w:pPr>
        <w:pStyle w:val="ListParagraph"/>
        <w:ind w:left="0"/>
        <w:rPr>
          <w:color w:val="000000" w:themeColor="text1"/>
        </w:rPr>
      </w:pPr>
      <w:r w:rsidRPr="00B504B1">
        <w:rPr>
          <w:color w:val="000000" w:themeColor="text1"/>
        </w:rPr>
        <w:t xml:space="preserve">Except for Restricted Agency Funds, the 5% annual withdrawal limit may be split and taken in fractions throughout the year. For example: a Scholarship Fund may pay ½ of its annual spend in August and ½ in January to accommodate the collegiate semester schedule. </w:t>
      </w:r>
    </w:p>
    <w:p w14:paraId="5563967F" w14:textId="77777777" w:rsidR="002D632C" w:rsidRPr="00B504B1" w:rsidRDefault="002D632C" w:rsidP="002D632C">
      <w:pPr>
        <w:pStyle w:val="ListParagraph"/>
        <w:ind w:left="0"/>
        <w:rPr>
          <w:color w:val="000000" w:themeColor="text1"/>
        </w:rPr>
      </w:pPr>
    </w:p>
    <w:p w14:paraId="68917328" w14:textId="77777777" w:rsidR="002D632C" w:rsidRPr="00B504B1" w:rsidRDefault="002D632C" w:rsidP="002D632C">
      <w:pPr>
        <w:pStyle w:val="ListParagraph"/>
        <w:ind w:left="0"/>
        <w:rPr>
          <w:color w:val="000000" w:themeColor="text1"/>
        </w:rPr>
      </w:pPr>
      <w:r w:rsidRPr="00B504B1">
        <w:rPr>
          <w:color w:val="000000" w:themeColor="text1"/>
        </w:rPr>
        <w:t xml:space="preserve">Restricted Agency Funds are only permitted one draw every 12-month period, even if that draw is not the full 5%. </w:t>
      </w:r>
    </w:p>
    <w:p w14:paraId="2EFBAA63" w14:textId="77777777" w:rsidR="002D632C" w:rsidRPr="00B504B1" w:rsidRDefault="002D632C" w:rsidP="002D632C">
      <w:pPr>
        <w:pStyle w:val="ListParagraph"/>
        <w:ind w:left="0"/>
        <w:rPr>
          <w:color w:val="000000" w:themeColor="text1"/>
        </w:rPr>
      </w:pPr>
    </w:p>
    <w:p w14:paraId="07C45E2D" w14:textId="77777777" w:rsidR="002D632C" w:rsidRPr="005A649B" w:rsidRDefault="002D632C" w:rsidP="005A649B">
      <w:pPr>
        <w:pStyle w:val="ListParagraph"/>
        <w:numPr>
          <w:ilvl w:val="0"/>
          <w:numId w:val="11"/>
        </w:numPr>
        <w:rPr>
          <w:rFonts w:cs="Times New Roman (Body CS)"/>
          <w:b/>
          <w:bCs/>
          <w:caps/>
          <w:color w:val="000000" w:themeColor="text1"/>
          <w:sz w:val="28"/>
        </w:rPr>
      </w:pPr>
      <w:r w:rsidRPr="005A649B">
        <w:rPr>
          <w:rFonts w:cs="Times New Roman (Body CS)"/>
          <w:b/>
          <w:bCs/>
          <w:caps/>
          <w:color w:val="000000" w:themeColor="text1"/>
          <w:sz w:val="28"/>
        </w:rPr>
        <w:t>Minimum to Stay Invested</w:t>
      </w:r>
    </w:p>
    <w:p w14:paraId="7D584E88" w14:textId="77777777" w:rsidR="005A649B" w:rsidRDefault="005A649B" w:rsidP="002D632C">
      <w:pPr>
        <w:rPr>
          <w:color w:val="000000" w:themeColor="text1"/>
        </w:rPr>
      </w:pPr>
    </w:p>
    <w:p w14:paraId="135D9F65" w14:textId="06581CDF" w:rsidR="002D632C" w:rsidRPr="00B504B1" w:rsidRDefault="002D632C" w:rsidP="002D632C">
      <w:pPr>
        <w:rPr>
          <w:color w:val="000000" w:themeColor="text1"/>
        </w:rPr>
      </w:pPr>
      <w:r w:rsidRPr="00B504B1">
        <w:rPr>
          <w:color w:val="000000" w:themeColor="text1"/>
        </w:rPr>
        <w:t>The minimum balance for a fund that elects to be invested is $2,000. If the balance drops below that minimum, it may be pulled from the BCF’s investment account. The fund may be returned to the investment pool if the balance is raised to exceed $2,000. Invested funds may drop below $2,000 no more than twice in one 12-month period before it is permanently pulled from the investment pool and managed from another BCF account where it will not be eligible to capture interest/earnings.</w:t>
      </w:r>
    </w:p>
    <w:p w14:paraId="09B89E44" w14:textId="77777777" w:rsidR="002D632C" w:rsidRPr="00B504B1" w:rsidRDefault="002D632C" w:rsidP="002D632C">
      <w:pPr>
        <w:rPr>
          <w:color w:val="000000" w:themeColor="text1"/>
        </w:rPr>
      </w:pPr>
    </w:p>
    <w:p w14:paraId="0A9C4F81" w14:textId="77777777" w:rsidR="002D632C" w:rsidRPr="005A649B" w:rsidRDefault="002D632C" w:rsidP="005A649B">
      <w:pPr>
        <w:pStyle w:val="ListParagraph"/>
        <w:numPr>
          <w:ilvl w:val="0"/>
          <w:numId w:val="11"/>
        </w:numPr>
        <w:rPr>
          <w:rFonts w:cs="Times New Roman (Body CS)"/>
          <w:b/>
          <w:bCs/>
          <w:caps/>
          <w:color w:val="000000" w:themeColor="text1"/>
          <w:sz w:val="28"/>
        </w:rPr>
      </w:pPr>
      <w:r w:rsidRPr="005A649B">
        <w:rPr>
          <w:rFonts w:cs="Times New Roman (Body CS)"/>
          <w:b/>
          <w:bCs/>
          <w:caps/>
          <w:color w:val="000000" w:themeColor="text1"/>
          <w:sz w:val="28"/>
        </w:rPr>
        <w:t>Creation of a Fund</w:t>
      </w:r>
    </w:p>
    <w:p w14:paraId="529ECD21" w14:textId="77777777" w:rsidR="005A649B" w:rsidRDefault="005A649B" w:rsidP="002D632C">
      <w:pPr>
        <w:rPr>
          <w:color w:val="000000" w:themeColor="text1"/>
        </w:rPr>
      </w:pPr>
    </w:p>
    <w:p w14:paraId="29A2AF34" w14:textId="3D7BD4C8" w:rsidR="002D632C" w:rsidRPr="00B504B1" w:rsidRDefault="002D632C" w:rsidP="002D632C">
      <w:pPr>
        <w:rPr>
          <w:color w:val="000000" w:themeColor="text1"/>
        </w:rPr>
      </w:pPr>
      <w:r w:rsidRPr="00B504B1">
        <w:rPr>
          <w:color w:val="000000" w:themeColor="text1"/>
        </w:rPr>
        <w:t xml:space="preserve">Upon establishment of any fund, donor(s) irrevocably transfer property that follows the guidelines of the BCF’s gift acceptance policy. The Foundation has the right to reject any gift. The Foundation may receive additional irrevocable gifts of property acceptable to the Foundation to the funds at any time from a donor or any other source. All contributions to a fund shall be administered pursuant to the terms and conditions of the fund agreement and </w:t>
      </w:r>
      <w:r w:rsidRPr="00B504B1">
        <w:rPr>
          <w:color w:val="000000" w:themeColor="text1"/>
        </w:rPr>
        <w:lastRenderedPageBreak/>
        <w:t xml:space="preserve">shall be held by the Foundation. All transfers and contributions to a fund at the Foundation shall be irrevocable once accepted by the Foundation. </w:t>
      </w:r>
    </w:p>
    <w:p w14:paraId="61281F3A" w14:textId="77777777" w:rsidR="002D632C" w:rsidRPr="00B504B1" w:rsidRDefault="002D632C" w:rsidP="002D632C">
      <w:pPr>
        <w:pStyle w:val="ListParagraph"/>
        <w:ind w:left="0"/>
        <w:rPr>
          <w:b/>
          <w:bCs/>
          <w:color w:val="000000" w:themeColor="text1"/>
          <w:u w:val="single"/>
        </w:rPr>
      </w:pPr>
    </w:p>
    <w:p w14:paraId="5B42DCE5" w14:textId="77777777" w:rsidR="002D632C" w:rsidRPr="005A649B" w:rsidRDefault="002D632C" w:rsidP="005A649B">
      <w:pPr>
        <w:pStyle w:val="ListParagraph"/>
        <w:numPr>
          <w:ilvl w:val="0"/>
          <w:numId w:val="11"/>
        </w:numPr>
        <w:rPr>
          <w:rFonts w:cs="Times New Roman (Body CS)"/>
          <w:b/>
          <w:bCs/>
          <w:caps/>
          <w:color w:val="000000" w:themeColor="text1"/>
          <w:sz w:val="28"/>
        </w:rPr>
      </w:pPr>
      <w:r w:rsidRPr="005A649B">
        <w:rPr>
          <w:rFonts w:cs="Times New Roman (Body CS)"/>
          <w:b/>
          <w:bCs/>
          <w:caps/>
          <w:color w:val="000000" w:themeColor="text1"/>
          <w:sz w:val="28"/>
        </w:rPr>
        <w:t>Purpose of a Fund</w:t>
      </w:r>
    </w:p>
    <w:p w14:paraId="32A0E34C" w14:textId="77777777" w:rsidR="005A649B" w:rsidRDefault="005A649B" w:rsidP="002D632C">
      <w:pPr>
        <w:rPr>
          <w:color w:val="000000" w:themeColor="text1"/>
        </w:rPr>
      </w:pPr>
    </w:p>
    <w:p w14:paraId="2F211B74" w14:textId="4A3C1809" w:rsidR="002D632C" w:rsidRDefault="002D632C" w:rsidP="002D632C">
      <w:pPr>
        <w:rPr>
          <w:color w:val="000000" w:themeColor="text1"/>
        </w:rPr>
      </w:pPr>
      <w:r w:rsidRPr="00B504B1">
        <w:rPr>
          <w:color w:val="000000" w:themeColor="text1"/>
        </w:rPr>
        <w:t xml:space="preserve">The purpose of a Fund is to support organizations that engage in charitable activities which are consistent with the charitable purposes of the Foundation. Generally, grants may be made to: </w:t>
      </w:r>
    </w:p>
    <w:p w14:paraId="7E72EACE" w14:textId="77777777" w:rsidR="00D12C55" w:rsidRPr="00B504B1" w:rsidRDefault="00D12C55" w:rsidP="002D632C">
      <w:pPr>
        <w:rPr>
          <w:color w:val="000000" w:themeColor="text1"/>
        </w:rPr>
      </w:pPr>
    </w:p>
    <w:p w14:paraId="326D2A72" w14:textId="3CF0B322" w:rsidR="00D12C55" w:rsidRPr="00D12C55" w:rsidRDefault="002D632C" w:rsidP="00D12C55">
      <w:pPr>
        <w:pStyle w:val="ListParagraph"/>
        <w:numPr>
          <w:ilvl w:val="0"/>
          <w:numId w:val="6"/>
        </w:numPr>
        <w:rPr>
          <w:color w:val="000000" w:themeColor="text1"/>
        </w:rPr>
      </w:pPr>
      <w:r w:rsidRPr="00B504B1">
        <w:rPr>
          <w:color w:val="000000" w:themeColor="text1"/>
        </w:rPr>
        <w:t>Organizations described in Section 170(b)(1)A) (other than certain supporting organizations</w:t>
      </w:r>
      <w:proofErr w:type="gramStart"/>
      <w:r w:rsidRPr="00B504B1">
        <w:rPr>
          <w:color w:val="000000" w:themeColor="text1"/>
        </w:rPr>
        <w:t>);</w:t>
      </w:r>
      <w:proofErr w:type="gramEnd"/>
    </w:p>
    <w:p w14:paraId="5C0A88AC" w14:textId="7E9C2889" w:rsidR="00D12C55" w:rsidRPr="00D12C55" w:rsidRDefault="002D632C" w:rsidP="00D12C55">
      <w:pPr>
        <w:pStyle w:val="ListParagraph"/>
        <w:numPr>
          <w:ilvl w:val="0"/>
          <w:numId w:val="6"/>
        </w:numPr>
        <w:rPr>
          <w:color w:val="000000" w:themeColor="text1"/>
        </w:rPr>
      </w:pPr>
      <w:r w:rsidRPr="00B504B1">
        <w:rPr>
          <w:color w:val="000000" w:themeColor="text1"/>
        </w:rPr>
        <w:t xml:space="preserve">Organizations not described in Section 170(b)(1)(A) if expenditure responsibility is </w:t>
      </w:r>
      <w:proofErr w:type="gramStart"/>
      <w:r w:rsidRPr="00B504B1">
        <w:rPr>
          <w:color w:val="000000" w:themeColor="text1"/>
        </w:rPr>
        <w:t>exercised;</w:t>
      </w:r>
      <w:proofErr w:type="gramEnd"/>
      <w:r w:rsidRPr="00B504B1">
        <w:rPr>
          <w:color w:val="000000" w:themeColor="text1"/>
        </w:rPr>
        <w:t xml:space="preserve"> </w:t>
      </w:r>
    </w:p>
    <w:p w14:paraId="5E09DA01" w14:textId="76C396F8" w:rsidR="00D12C55" w:rsidRPr="00D12C55" w:rsidRDefault="002D632C" w:rsidP="00D12C55">
      <w:pPr>
        <w:pStyle w:val="ListParagraph"/>
        <w:numPr>
          <w:ilvl w:val="0"/>
          <w:numId w:val="6"/>
        </w:numPr>
        <w:rPr>
          <w:color w:val="000000" w:themeColor="text1"/>
        </w:rPr>
      </w:pPr>
      <w:r w:rsidRPr="00B504B1">
        <w:rPr>
          <w:color w:val="000000" w:themeColor="text1"/>
        </w:rPr>
        <w:t>The Foundation; and/or</w:t>
      </w:r>
    </w:p>
    <w:p w14:paraId="16ADF701" w14:textId="3AFD5319" w:rsidR="002D632C" w:rsidRPr="00B504B1" w:rsidRDefault="002D632C" w:rsidP="002D632C">
      <w:pPr>
        <w:pStyle w:val="ListParagraph"/>
        <w:numPr>
          <w:ilvl w:val="0"/>
          <w:numId w:val="6"/>
        </w:numPr>
        <w:rPr>
          <w:color w:val="000000" w:themeColor="text1"/>
        </w:rPr>
      </w:pPr>
      <w:r w:rsidRPr="00B504B1">
        <w:rPr>
          <w:color w:val="000000" w:themeColor="text1"/>
        </w:rPr>
        <w:t>Other funds affiliated with and controlled by the Foundation</w:t>
      </w:r>
      <w:r w:rsidR="00D12C55">
        <w:rPr>
          <w:color w:val="000000" w:themeColor="text1"/>
        </w:rPr>
        <w:t>.</w:t>
      </w:r>
      <w:r w:rsidRPr="00B504B1">
        <w:rPr>
          <w:color w:val="000000" w:themeColor="text1"/>
        </w:rPr>
        <w:t xml:space="preserve"> </w:t>
      </w:r>
    </w:p>
    <w:p w14:paraId="13FF99C9" w14:textId="77777777" w:rsidR="002D632C" w:rsidRPr="00B504B1" w:rsidRDefault="002D632C" w:rsidP="002D632C">
      <w:pPr>
        <w:rPr>
          <w:color w:val="000000" w:themeColor="text1"/>
        </w:rPr>
      </w:pPr>
    </w:p>
    <w:p w14:paraId="4FBB6998" w14:textId="717AAB5A" w:rsidR="002D632C" w:rsidRPr="005A649B" w:rsidRDefault="002D632C" w:rsidP="005A649B">
      <w:pPr>
        <w:pStyle w:val="ListParagraph"/>
        <w:numPr>
          <w:ilvl w:val="0"/>
          <w:numId w:val="11"/>
        </w:numPr>
        <w:rPr>
          <w:rFonts w:cs="Times New Roman (Body CS)"/>
          <w:b/>
          <w:bCs/>
          <w:caps/>
          <w:color w:val="000000" w:themeColor="text1"/>
          <w:sz w:val="28"/>
        </w:rPr>
      </w:pPr>
      <w:r w:rsidRPr="005A649B">
        <w:rPr>
          <w:rFonts w:cs="Times New Roman (Body CS)"/>
          <w:b/>
          <w:bCs/>
          <w:caps/>
          <w:color w:val="000000" w:themeColor="text1"/>
          <w:sz w:val="28"/>
        </w:rPr>
        <w:t>Variance Power</w:t>
      </w:r>
    </w:p>
    <w:p w14:paraId="63CEC130" w14:textId="77777777" w:rsidR="002D632C" w:rsidRPr="00B504B1" w:rsidRDefault="002D632C" w:rsidP="002D632C">
      <w:pPr>
        <w:rPr>
          <w:b/>
          <w:bCs/>
          <w:color w:val="000000" w:themeColor="text1"/>
          <w:u w:val="single"/>
        </w:rPr>
      </w:pPr>
    </w:p>
    <w:p w14:paraId="0DD62788" w14:textId="77777777" w:rsidR="002D632C" w:rsidRPr="00B504B1" w:rsidRDefault="002D632C" w:rsidP="002D632C">
      <w:pPr>
        <w:rPr>
          <w:color w:val="000000" w:themeColor="text1"/>
        </w:rPr>
      </w:pPr>
      <w:r w:rsidRPr="00B504B1">
        <w:rPr>
          <w:color w:val="000000" w:themeColor="text1"/>
        </w:rPr>
        <w:t xml:space="preserve">The BCF Board holds variance power over all gifts made to any fund at the Foundation. All gifts shall be owned by the BCF and reported by the BCF as defined by law. The Foundation does not currently permit the use of its banking or investment accounts to funds that may be owned by another charitable entity. </w:t>
      </w:r>
    </w:p>
    <w:p w14:paraId="6BB73EC1" w14:textId="77777777" w:rsidR="002D632C" w:rsidRPr="00B504B1" w:rsidRDefault="002D632C" w:rsidP="002D632C">
      <w:pPr>
        <w:rPr>
          <w:color w:val="000000" w:themeColor="text1"/>
        </w:rPr>
      </w:pPr>
    </w:p>
    <w:p w14:paraId="6FEF74B6" w14:textId="01DFA122" w:rsidR="002D632C" w:rsidRPr="005A649B" w:rsidRDefault="002D632C" w:rsidP="005A649B">
      <w:pPr>
        <w:pStyle w:val="ListParagraph"/>
        <w:numPr>
          <w:ilvl w:val="0"/>
          <w:numId w:val="11"/>
        </w:numPr>
        <w:rPr>
          <w:rFonts w:cs="Times New Roman (Body CS)"/>
          <w:b/>
          <w:bCs/>
          <w:caps/>
          <w:color w:val="000000" w:themeColor="text1"/>
          <w:sz w:val="28"/>
          <w:szCs w:val="28"/>
        </w:rPr>
      </w:pPr>
      <w:r w:rsidRPr="005A649B">
        <w:rPr>
          <w:rFonts w:cs="Times New Roman (Body CS)"/>
          <w:b/>
          <w:bCs/>
          <w:caps/>
          <w:color w:val="000000" w:themeColor="text1"/>
          <w:sz w:val="28"/>
          <w:szCs w:val="28"/>
        </w:rPr>
        <w:t xml:space="preserve">Memorial Funds </w:t>
      </w:r>
    </w:p>
    <w:p w14:paraId="4B370EAD" w14:textId="77777777" w:rsidR="005A649B" w:rsidRDefault="005A649B" w:rsidP="002D632C">
      <w:pPr>
        <w:rPr>
          <w:color w:val="000000" w:themeColor="text1"/>
        </w:rPr>
      </w:pPr>
    </w:p>
    <w:p w14:paraId="505D5B09" w14:textId="720BD6A9" w:rsidR="002D632C" w:rsidRPr="00B504B1" w:rsidRDefault="002D632C" w:rsidP="002D632C">
      <w:pPr>
        <w:rPr>
          <w:color w:val="000000" w:themeColor="text1"/>
        </w:rPr>
      </w:pPr>
      <w:r w:rsidRPr="00B504B1">
        <w:rPr>
          <w:color w:val="000000" w:themeColor="text1"/>
        </w:rPr>
        <w:t xml:space="preserve">Donations in memory of an individual following their passing may be accepted by the BCF and earmarked to establish a component fund as soon as possible following the death of the honoree. If minimum requirements are not met to open a component fund, the memorial donations may be added to an existing fund at the Foundation or be used to make a qualifying one-time grant. </w:t>
      </w:r>
    </w:p>
    <w:p w14:paraId="287A37EC" w14:textId="77777777" w:rsidR="002D632C" w:rsidRPr="00B504B1" w:rsidRDefault="002D632C" w:rsidP="002D632C">
      <w:pPr>
        <w:rPr>
          <w:b/>
          <w:bCs/>
          <w:color w:val="000000" w:themeColor="text1"/>
        </w:rPr>
      </w:pPr>
    </w:p>
    <w:p w14:paraId="73C00F6E" w14:textId="4CF7759F" w:rsidR="002D632C" w:rsidRPr="005A649B" w:rsidRDefault="002D632C" w:rsidP="005A649B">
      <w:pPr>
        <w:pStyle w:val="ListParagraph"/>
        <w:numPr>
          <w:ilvl w:val="0"/>
          <w:numId w:val="11"/>
        </w:numPr>
        <w:rPr>
          <w:rFonts w:cs="Times New Roman (Body CS)"/>
          <w:b/>
          <w:bCs/>
          <w:caps/>
          <w:color w:val="000000" w:themeColor="text1"/>
          <w:sz w:val="28"/>
        </w:rPr>
      </w:pPr>
      <w:r w:rsidRPr="005A649B">
        <w:rPr>
          <w:rFonts w:cs="Times New Roman (Body CS)"/>
          <w:b/>
          <w:bCs/>
          <w:caps/>
          <w:color w:val="000000" w:themeColor="text1"/>
          <w:sz w:val="28"/>
        </w:rPr>
        <w:t>Requesting a Grant</w:t>
      </w:r>
      <w:r w:rsidR="001B5A03" w:rsidRPr="005A649B">
        <w:rPr>
          <w:rFonts w:cs="Times New Roman (Body CS)"/>
          <w:b/>
          <w:bCs/>
          <w:caps/>
          <w:color w:val="000000" w:themeColor="text1"/>
          <w:sz w:val="28"/>
        </w:rPr>
        <w:t>/Spending Authority</w:t>
      </w:r>
      <w:r w:rsidRPr="005A649B">
        <w:rPr>
          <w:rFonts w:cs="Times New Roman (Body CS)"/>
          <w:b/>
          <w:bCs/>
          <w:caps/>
          <w:color w:val="000000" w:themeColor="text1"/>
          <w:sz w:val="28"/>
        </w:rPr>
        <w:t xml:space="preserve">: </w:t>
      </w:r>
    </w:p>
    <w:p w14:paraId="76435EA9" w14:textId="77777777" w:rsidR="005A649B" w:rsidRDefault="005A649B" w:rsidP="002D632C">
      <w:pPr>
        <w:rPr>
          <w:color w:val="000000" w:themeColor="text1"/>
        </w:rPr>
      </w:pPr>
    </w:p>
    <w:p w14:paraId="2A1CDFBB" w14:textId="3D5162AD" w:rsidR="002D632C" w:rsidRPr="00B504B1" w:rsidRDefault="002D632C" w:rsidP="002D632C">
      <w:pPr>
        <w:rPr>
          <w:color w:val="000000" w:themeColor="text1"/>
        </w:rPr>
      </w:pPr>
      <w:r w:rsidRPr="00B504B1">
        <w:rPr>
          <w:color w:val="000000" w:themeColor="text1"/>
        </w:rPr>
        <w:t xml:space="preserve">Grant requests shall be made in writing, via e-mail, or through the fund advisor portal account by an authorized fund advisor/holder to the BCF office for processing in accordance with the BCF’s internal grant processing procedures and Grantmaking Due Diligence Policy. If additional information is necessary to fulfill the request, the BCF will contact the fund advisor for supporting documents. Minimum grant request is $10. </w:t>
      </w:r>
    </w:p>
    <w:p w14:paraId="30BFCAA6" w14:textId="77777777" w:rsidR="002D632C" w:rsidRPr="00B504B1" w:rsidRDefault="002D632C" w:rsidP="002D632C">
      <w:pPr>
        <w:rPr>
          <w:color w:val="000000" w:themeColor="text1"/>
        </w:rPr>
      </w:pPr>
    </w:p>
    <w:p w14:paraId="48CE013F" w14:textId="1193751B" w:rsidR="002D632C" w:rsidRPr="005A649B" w:rsidRDefault="002D632C" w:rsidP="005A649B">
      <w:pPr>
        <w:pStyle w:val="ListParagraph"/>
        <w:numPr>
          <w:ilvl w:val="0"/>
          <w:numId w:val="11"/>
        </w:numPr>
        <w:rPr>
          <w:rFonts w:cs="Times New Roman (Body CS)"/>
          <w:b/>
          <w:bCs/>
          <w:caps/>
          <w:color w:val="000000" w:themeColor="text1"/>
          <w:sz w:val="28"/>
        </w:rPr>
      </w:pPr>
      <w:r w:rsidRPr="005A649B">
        <w:rPr>
          <w:rFonts w:cs="Times New Roman (Body CS)"/>
          <w:b/>
          <w:bCs/>
          <w:caps/>
          <w:color w:val="000000" w:themeColor="text1"/>
          <w:sz w:val="28"/>
        </w:rPr>
        <w:t>Investment Election and Management Fee</w:t>
      </w:r>
    </w:p>
    <w:p w14:paraId="5F3CDF5A" w14:textId="77777777" w:rsidR="005A649B" w:rsidRDefault="005A649B" w:rsidP="002D632C">
      <w:pPr>
        <w:rPr>
          <w:color w:val="000000" w:themeColor="text1"/>
        </w:rPr>
      </w:pPr>
    </w:p>
    <w:p w14:paraId="2212978B" w14:textId="42B2C503" w:rsidR="002D632C" w:rsidRPr="00B504B1" w:rsidRDefault="002D632C" w:rsidP="002D632C">
      <w:pPr>
        <w:rPr>
          <w:color w:val="000000" w:themeColor="text1"/>
        </w:rPr>
      </w:pPr>
      <w:r w:rsidRPr="00B504B1">
        <w:rPr>
          <w:color w:val="000000" w:themeColor="text1"/>
        </w:rPr>
        <w:t xml:space="preserve">Funds may choose to be invested. If fundholders elect to be included in a BCF investment option an investment management fee is charged. The investment management fee is </w:t>
      </w:r>
      <w:r w:rsidRPr="00B504B1">
        <w:rPr>
          <w:color w:val="000000" w:themeColor="text1"/>
        </w:rPr>
        <w:lastRenderedPageBreak/>
        <w:t xml:space="preserve">determined by the financial institution managing the BCF’s investments in addition to any BCF administrative fees. The financial institution that manages the BCF’s investments is selected through the completion of an RFP process and guided by an Investment Policy Statement. This fee may change based on the fee structure established by the investment institution. At the time of this policy, this fee is .50%. </w:t>
      </w:r>
    </w:p>
    <w:p w14:paraId="3E4C782D" w14:textId="77777777" w:rsidR="002D632C" w:rsidRPr="00B504B1" w:rsidRDefault="002D632C" w:rsidP="002D632C">
      <w:pPr>
        <w:rPr>
          <w:color w:val="000000" w:themeColor="text1"/>
        </w:rPr>
      </w:pPr>
    </w:p>
    <w:p w14:paraId="16AB3788" w14:textId="76B9A000" w:rsidR="002D632C" w:rsidRPr="005A649B" w:rsidRDefault="002D632C" w:rsidP="005A649B">
      <w:pPr>
        <w:pStyle w:val="ListParagraph"/>
        <w:numPr>
          <w:ilvl w:val="0"/>
          <w:numId w:val="11"/>
        </w:numPr>
        <w:rPr>
          <w:rFonts w:cs="Times New Roman (Body CS)"/>
          <w:b/>
          <w:bCs/>
          <w:caps/>
          <w:color w:val="000000" w:themeColor="text1"/>
          <w:sz w:val="28"/>
        </w:rPr>
      </w:pPr>
      <w:r w:rsidRPr="005A649B">
        <w:rPr>
          <w:rFonts w:cs="Times New Roman (Body CS)"/>
          <w:b/>
          <w:bCs/>
          <w:caps/>
          <w:color w:val="000000" w:themeColor="text1"/>
          <w:sz w:val="28"/>
        </w:rPr>
        <w:t>Fund Statements</w:t>
      </w:r>
    </w:p>
    <w:p w14:paraId="440C1638" w14:textId="77777777" w:rsidR="005A649B" w:rsidRDefault="005A649B" w:rsidP="002D632C">
      <w:pPr>
        <w:pStyle w:val="ListParagraph"/>
        <w:ind w:left="0"/>
        <w:rPr>
          <w:color w:val="000000" w:themeColor="text1"/>
        </w:rPr>
      </w:pPr>
    </w:p>
    <w:p w14:paraId="0F753B3F" w14:textId="78D2A4E0" w:rsidR="002D632C" w:rsidRPr="00B504B1" w:rsidRDefault="002D632C" w:rsidP="002D632C">
      <w:pPr>
        <w:pStyle w:val="ListParagraph"/>
        <w:ind w:left="0"/>
        <w:rPr>
          <w:color w:val="000000" w:themeColor="text1"/>
        </w:rPr>
      </w:pPr>
      <w:r w:rsidRPr="00B504B1">
        <w:rPr>
          <w:color w:val="000000" w:themeColor="text1"/>
        </w:rPr>
        <w:t>Funds with a balance in an investment solution will be provided quarterly statements that disclose fund activity. Statements may be obtained electronically through e-mail or the donor portal, or via mail.</w:t>
      </w:r>
    </w:p>
    <w:p w14:paraId="1F6E8F9E" w14:textId="77777777" w:rsidR="002D632C" w:rsidRPr="00B504B1" w:rsidRDefault="002D632C" w:rsidP="002D632C">
      <w:pPr>
        <w:rPr>
          <w:b/>
          <w:bCs/>
          <w:color w:val="000000" w:themeColor="text1"/>
        </w:rPr>
      </w:pPr>
    </w:p>
    <w:p w14:paraId="4C46631B" w14:textId="77777777" w:rsidR="002D632C" w:rsidRPr="00B504B1" w:rsidRDefault="002D632C">
      <w:pPr>
        <w:rPr>
          <w:color w:val="000000" w:themeColor="text1"/>
        </w:rPr>
      </w:pPr>
    </w:p>
    <w:sectPr w:rsidR="002D632C" w:rsidRPr="00B504B1" w:rsidSect="00DE57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34BF" w14:textId="77777777" w:rsidR="002A04AB" w:rsidRDefault="002A04AB">
      <w:r>
        <w:separator/>
      </w:r>
    </w:p>
  </w:endnote>
  <w:endnote w:type="continuationSeparator" w:id="0">
    <w:p w14:paraId="767C712A" w14:textId="77777777" w:rsidR="002A04AB" w:rsidRDefault="002A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7471669"/>
      <w:docPartObj>
        <w:docPartGallery w:val="Page Numbers (Bottom of Page)"/>
        <w:docPartUnique/>
      </w:docPartObj>
    </w:sdtPr>
    <w:sdtContent>
      <w:p w14:paraId="58BED48B" w14:textId="77777777" w:rsidR="006D36BF" w:rsidRDefault="006D36BF" w:rsidP="001460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77024639"/>
      <w:docPartObj>
        <w:docPartGallery w:val="Page Numbers (Bottom of Page)"/>
        <w:docPartUnique/>
      </w:docPartObj>
    </w:sdtPr>
    <w:sdtContent>
      <w:p w14:paraId="2BECC884" w14:textId="77777777" w:rsidR="006D36BF" w:rsidRDefault="006D36BF" w:rsidP="001460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D538A2" w14:textId="77777777" w:rsidR="006D36BF" w:rsidRDefault="006D36BF" w:rsidP="001D6D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9D54" w14:textId="051F3F52" w:rsidR="00BF5B38" w:rsidRPr="00CE3EC8" w:rsidRDefault="00BF5B38" w:rsidP="00BF5B38">
    <w:pPr>
      <w:pStyle w:val="Footer"/>
      <w:pBdr>
        <w:bottom w:val="single" w:sz="24" w:space="1" w:color="BF8F00" w:themeColor="accent4" w:themeShade="BF"/>
      </w:pBdr>
      <w:rPr>
        <w:sz w:val="20"/>
        <w:szCs w:val="20"/>
      </w:rPr>
    </w:pPr>
    <w:r>
      <w:rPr>
        <w:sz w:val="20"/>
        <w:szCs w:val="20"/>
      </w:rPr>
      <w:t>Spending Policy</w:t>
    </w:r>
    <w:r w:rsidRPr="00CE3EC8">
      <w:rPr>
        <w:sz w:val="20"/>
        <w:szCs w:val="20"/>
      </w:rPr>
      <w:tab/>
    </w:r>
    <w:r w:rsidRPr="00CE3EC8">
      <w:rPr>
        <w:sz w:val="20"/>
        <w:szCs w:val="20"/>
      </w:rPr>
      <w:tab/>
    </w:r>
    <w:r w:rsidRPr="00EE136F">
      <w:rPr>
        <w:rFonts w:cstheme="minorHAnsi"/>
        <w:sz w:val="20"/>
        <w:szCs w:val="20"/>
      </w:rPr>
      <w:t xml:space="preserve">Page </w:t>
    </w:r>
    <w:r w:rsidRPr="00EE136F">
      <w:rPr>
        <w:rFonts w:cstheme="minorHAnsi"/>
        <w:sz w:val="20"/>
        <w:szCs w:val="20"/>
      </w:rPr>
      <w:fldChar w:fldCharType="begin"/>
    </w:r>
    <w:r w:rsidRPr="00EE136F">
      <w:rPr>
        <w:rFonts w:cstheme="minorHAnsi"/>
        <w:sz w:val="20"/>
        <w:szCs w:val="20"/>
      </w:rPr>
      <w:instrText xml:space="preserve"> PAGE </w:instrText>
    </w:r>
    <w:r w:rsidRPr="00EE136F">
      <w:rPr>
        <w:rFonts w:cstheme="minorHAnsi"/>
        <w:sz w:val="20"/>
        <w:szCs w:val="20"/>
      </w:rPr>
      <w:fldChar w:fldCharType="separate"/>
    </w:r>
    <w:r>
      <w:rPr>
        <w:rFonts w:cstheme="minorHAnsi"/>
        <w:sz w:val="20"/>
        <w:szCs w:val="20"/>
      </w:rPr>
      <w:t>1</w:t>
    </w:r>
    <w:r w:rsidRPr="00EE136F">
      <w:rPr>
        <w:rFonts w:cstheme="minorHAnsi"/>
        <w:sz w:val="20"/>
        <w:szCs w:val="20"/>
      </w:rPr>
      <w:fldChar w:fldCharType="end"/>
    </w:r>
    <w:r w:rsidRPr="00EE136F">
      <w:rPr>
        <w:rFonts w:cstheme="minorHAnsi"/>
        <w:sz w:val="20"/>
        <w:szCs w:val="20"/>
      </w:rPr>
      <w:t xml:space="preserve"> of </w:t>
    </w:r>
    <w:r w:rsidRPr="00EE136F">
      <w:rPr>
        <w:rFonts w:cstheme="minorHAnsi"/>
        <w:sz w:val="20"/>
        <w:szCs w:val="20"/>
      </w:rPr>
      <w:fldChar w:fldCharType="begin"/>
    </w:r>
    <w:r w:rsidRPr="00EE136F">
      <w:rPr>
        <w:rFonts w:cstheme="minorHAnsi"/>
        <w:sz w:val="20"/>
        <w:szCs w:val="20"/>
      </w:rPr>
      <w:instrText xml:space="preserve"> NUMPAGES </w:instrText>
    </w:r>
    <w:r w:rsidRPr="00EE136F">
      <w:rPr>
        <w:rFonts w:cstheme="minorHAnsi"/>
        <w:sz w:val="20"/>
        <w:szCs w:val="20"/>
      </w:rPr>
      <w:fldChar w:fldCharType="separate"/>
    </w:r>
    <w:r>
      <w:rPr>
        <w:rFonts w:cstheme="minorHAnsi"/>
        <w:sz w:val="20"/>
        <w:szCs w:val="20"/>
      </w:rPr>
      <w:t>20</w:t>
    </w:r>
    <w:r w:rsidRPr="00EE136F">
      <w:rPr>
        <w:rFonts w:cstheme="minorHAnsi"/>
        <w:sz w:val="20"/>
        <w:szCs w:val="20"/>
      </w:rPr>
      <w:fldChar w:fldCharType="end"/>
    </w:r>
  </w:p>
  <w:p w14:paraId="52F6699E" w14:textId="77777777" w:rsidR="00BF5B38" w:rsidRPr="00CE3EC8" w:rsidRDefault="00BF5B38" w:rsidP="00BF5B38">
    <w:pPr>
      <w:jc w:val="center"/>
      <w:rPr>
        <w:i/>
        <w:iCs/>
        <w:sz w:val="20"/>
        <w:szCs w:val="20"/>
      </w:rPr>
    </w:pPr>
    <w:r w:rsidRPr="00CE3EC8">
      <w:rPr>
        <w:i/>
        <w:iCs/>
        <w:sz w:val="20"/>
        <w:szCs w:val="20"/>
      </w:rPr>
      <w:t>Mission: Provide a simple way to do good works.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3969" w14:textId="77777777" w:rsidR="002A04AB" w:rsidRDefault="002A04AB">
      <w:r>
        <w:separator/>
      </w:r>
    </w:p>
  </w:footnote>
  <w:footnote w:type="continuationSeparator" w:id="0">
    <w:p w14:paraId="7B76413F" w14:textId="77777777" w:rsidR="002A04AB" w:rsidRDefault="002A0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6335" w14:textId="77777777" w:rsidR="00940895" w:rsidRDefault="00940895" w:rsidP="00940895">
    <w:pPr>
      <w:pStyle w:val="Header"/>
      <w:pBdr>
        <w:bottom w:val="single" w:sz="24" w:space="1" w:color="BF8F00" w:themeColor="accent4" w:themeShade="BF"/>
      </w:pBdr>
      <w:jc w:val="right"/>
      <w:rPr>
        <w:b/>
        <w:bCs/>
        <w:sz w:val="28"/>
        <w:szCs w:val="28"/>
      </w:rPr>
    </w:pPr>
    <w:r>
      <w:rPr>
        <w:noProof/>
      </w:rPr>
      <w:drawing>
        <wp:anchor distT="0" distB="0" distL="114300" distR="114300" simplePos="0" relativeHeight="251659264" behindDoc="0" locked="0" layoutInCell="1" allowOverlap="1" wp14:anchorId="65291E25" wp14:editId="75765159">
          <wp:simplePos x="0" y="0"/>
          <wp:positionH relativeFrom="column">
            <wp:posOffset>-80010</wp:posOffset>
          </wp:positionH>
          <wp:positionV relativeFrom="paragraph">
            <wp:posOffset>-175661</wp:posOffset>
          </wp:positionV>
          <wp:extent cx="1958975" cy="617220"/>
          <wp:effectExtent l="0" t="0" r="0" b="0"/>
          <wp:wrapNone/>
          <wp:docPr id="150791915" name="Picture 1" descr="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1915" name="Picture 1" descr="Blue and yellow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617220"/>
                  </a:xfrm>
                  <a:prstGeom prst="rect">
                    <a:avLst/>
                  </a:prstGeom>
                </pic:spPr>
              </pic:pic>
            </a:graphicData>
          </a:graphic>
          <wp14:sizeRelH relativeFrom="page">
            <wp14:pctWidth>0</wp14:pctWidth>
          </wp14:sizeRelH>
          <wp14:sizeRelV relativeFrom="page">
            <wp14:pctHeight>0</wp14:pctHeight>
          </wp14:sizeRelV>
        </wp:anchor>
      </w:drawing>
    </w:r>
  </w:p>
  <w:p w14:paraId="14ACAE9D" w14:textId="771E985B" w:rsidR="00940895" w:rsidRDefault="00940895" w:rsidP="00940895">
    <w:pPr>
      <w:pStyle w:val="Header"/>
      <w:pBdr>
        <w:bottom w:val="single" w:sz="24" w:space="1" w:color="BF8F00" w:themeColor="accent4" w:themeShade="BF"/>
      </w:pBdr>
      <w:jc w:val="right"/>
    </w:pPr>
    <w:r>
      <w:rPr>
        <w:b/>
        <w:bCs/>
        <w:sz w:val="28"/>
        <w:szCs w:val="28"/>
      </w:rPr>
      <w:t>SPENDING</w:t>
    </w:r>
    <w:r w:rsidRPr="007B5E13">
      <w:rPr>
        <w:b/>
        <w:bCs/>
        <w:sz w:val="28"/>
        <w:szCs w:val="28"/>
      </w:rPr>
      <w:t xml:space="preserve"> </w:t>
    </w:r>
    <w:r>
      <w:rPr>
        <w:b/>
        <w:bCs/>
        <w:sz w:val="28"/>
        <w:szCs w:val="28"/>
      </w:rPr>
      <w:t>POLICY</w:t>
    </w:r>
  </w:p>
  <w:p w14:paraId="068DBB20" w14:textId="008FC6FF" w:rsidR="006D36BF" w:rsidRPr="00940895" w:rsidRDefault="006D36BF" w:rsidP="00940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D0A"/>
    <w:multiLevelType w:val="hybridMultilevel"/>
    <w:tmpl w:val="93FA65A6"/>
    <w:lvl w:ilvl="0" w:tplc="7F4E4286">
      <w:start w:val="2919"/>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A0EDA"/>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C5558F"/>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03564E8"/>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AA2827"/>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7B82CD7"/>
    <w:multiLevelType w:val="hybridMultilevel"/>
    <w:tmpl w:val="7B76F68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491B59"/>
    <w:multiLevelType w:val="hybridMultilevel"/>
    <w:tmpl w:val="C2280548"/>
    <w:lvl w:ilvl="0" w:tplc="7F4E4286">
      <w:start w:val="29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235E5"/>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9A727DB"/>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B2D7AEB"/>
    <w:multiLevelType w:val="hybridMultilevel"/>
    <w:tmpl w:val="6D5A876A"/>
    <w:lvl w:ilvl="0" w:tplc="7F4E4286">
      <w:start w:val="2919"/>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9C3D8E"/>
    <w:multiLevelType w:val="hybridMultilevel"/>
    <w:tmpl w:val="86CCB362"/>
    <w:lvl w:ilvl="0" w:tplc="7F4E4286">
      <w:start w:val="2919"/>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1E37D0"/>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060590A"/>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BD38F4"/>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9BC0207"/>
    <w:multiLevelType w:val="hybridMultilevel"/>
    <w:tmpl w:val="FDF2EAC8"/>
    <w:lvl w:ilvl="0" w:tplc="9328DDA0">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75555"/>
    <w:multiLevelType w:val="hybridMultilevel"/>
    <w:tmpl w:val="3AD45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32550"/>
    <w:multiLevelType w:val="hybridMultilevel"/>
    <w:tmpl w:val="0E6CAF32"/>
    <w:lvl w:ilvl="0" w:tplc="7F4E4286">
      <w:start w:val="2919"/>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CD2DBE"/>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77D2A33"/>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C06236F"/>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E606093"/>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08A6009"/>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6063A25"/>
    <w:multiLevelType w:val="hybridMultilevel"/>
    <w:tmpl w:val="1ADE0E0C"/>
    <w:lvl w:ilvl="0" w:tplc="7F4E4286">
      <w:start w:val="2919"/>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3E2F4E"/>
    <w:multiLevelType w:val="hybridMultilevel"/>
    <w:tmpl w:val="87E49C88"/>
    <w:lvl w:ilvl="0" w:tplc="7F4E4286">
      <w:start w:val="2919"/>
      <w:numFmt w:val="bullet"/>
      <w:lvlText w:val=""/>
      <w:lvlJc w:val="left"/>
      <w:pPr>
        <w:ind w:left="117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233"/>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ECE2D7F"/>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7A67F16"/>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A49029D"/>
    <w:multiLevelType w:val="multilevel"/>
    <w:tmpl w:val="A37EBDA4"/>
    <w:lvl w:ilvl="0">
      <w:start w:val="1"/>
      <w:numFmt w:val="upperRoman"/>
      <w:lvlText w:val="%1."/>
      <w:lvlJc w:val="right"/>
      <w:pPr>
        <w:ind w:left="360" w:hanging="36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4638295">
    <w:abstractNumId w:val="9"/>
  </w:num>
  <w:num w:numId="2" w16cid:durableId="825123336">
    <w:abstractNumId w:val="23"/>
  </w:num>
  <w:num w:numId="3" w16cid:durableId="156776682">
    <w:abstractNumId w:val="22"/>
  </w:num>
  <w:num w:numId="4" w16cid:durableId="914971041">
    <w:abstractNumId w:val="10"/>
  </w:num>
  <w:num w:numId="5" w16cid:durableId="1281523351">
    <w:abstractNumId w:val="16"/>
  </w:num>
  <w:num w:numId="6" w16cid:durableId="941062546">
    <w:abstractNumId w:val="6"/>
  </w:num>
  <w:num w:numId="7" w16cid:durableId="586156607">
    <w:abstractNumId w:val="15"/>
  </w:num>
  <w:num w:numId="8" w16cid:durableId="1068040248">
    <w:abstractNumId w:val="5"/>
  </w:num>
  <w:num w:numId="9" w16cid:durableId="500002021">
    <w:abstractNumId w:val="14"/>
  </w:num>
  <w:num w:numId="10" w16cid:durableId="1707173967">
    <w:abstractNumId w:val="0"/>
  </w:num>
  <w:num w:numId="11" w16cid:durableId="53236654">
    <w:abstractNumId w:val="25"/>
  </w:num>
  <w:num w:numId="12" w16cid:durableId="1294869654">
    <w:abstractNumId w:val="18"/>
  </w:num>
  <w:num w:numId="13" w16cid:durableId="1504664630">
    <w:abstractNumId w:val="12"/>
  </w:num>
  <w:num w:numId="14" w16cid:durableId="944193550">
    <w:abstractNumId w:val="3"/>
  </w:num>
  <w:num w:numId="15" w16cid:durableId="924193548">
    <w:abstractNumId w:val="26"/>
  </w:num>
  <w:num w:numId="16" w16cid:durableId="531114947">
    <w:abstractNumId w:val="2"/>
  </w:num>
  <w:num w:numId="17" w16cid:durableId="2033265060">
    <w:abstractNumId w:val="7"/>
  </w:num>
  <w:num w:numId="18" w16cid:durableId="1736464001">
    <w:abstractNumId w:val="20"/>
  </w:num>
  <w:num w:numId="19" w16cid:durableId="1418208552">
    <w:abstractNumId w:val="8"/>
  </w:num>
  <w:num w:numId="20" w16cid:durableId="799955744">
    <w:abstractNumId w:val="4"/>
  </w:num>
  <w:num w:numId="21" w16cid:durableId="1695419481">
    <w:abstractNumId w:val="19"/>
  </w:num>
  <w:num w:numId="22" w16cid:durableId="451556734">
    <w:abstractNumId w:val="21"/>
  </w:num>
  <w:num w:numId="23" w16cid:durableId="119611058">
    <w:abstractNumId w:val="13"/>
  </w:num>
  <w:num w:numId="24" w16cid:durableId="1207975">
    <w:abstractNumId w:val="17"/>
  </w:num>
  <w:num w:numId="25" w16cid:durableId="1313757889">
    <w:abstractNumId w:val="27"/>
  </w:num>
  <w:num w:numId="26" w16cid:durableId="1991015161">
    <w:abstractNumId w:val="24"/>
  </w:num>
  <w:num w:numId="27" w16cid:durableId="262962779">
    <w:abstractNumId w:val="11"/>
  </w:num>
  <w:num w:numId="28" w16cid:durableId="202489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2C"/>
    <w:rsid w:val="0012594B"/>
    <w:rsid w:val="001B5A03"/>
    <w:rsid w:val="002A04AB"/>
    <w:rsid w:val="002A26D4"/>
    <w:rsid w:val="002A75E7"/>
    <w:rsid w:val="002D632C"/>
    <w:rsid w:val="00342AE9"/>
    <w:rsid w:val="00375106"/>
    <w:rsid w:val="005A649B"/>
    <w:rsid w:val="005F4FAE"/>
    <w:rsid w:val="00694DBE"/>
    <w:rsid w:val="006A4808"/>
    <w:rsid w:val="006D36BF"/>
    <w:rsid w:val="006D4E3D"/>
    <w:rsid w:val="007A66F1"/>
    <w:rsid w:val="007D7BF2"/>
    <w:rsid w:val="00847F2F"/>
    <w:rsid w:val="00904143"/>
    <w:rsid w:val="00940895"/>
    <w:rsid w:val="00B504B1"/>
    <w:rsid w:val="00BB451B"/>
    <w:rsid w:val="00BF5B38"/>
    <w:rsid w:val="00D12C55"/>
    <w:rsid w:val="00F00B42"/>
    <w:rsid w:val="00F233CF"/>
    <w:rsid w:val="00FA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038517"/>
  <w15:chartTrackingRefBased/>
  <w15:docId w15:val="{182E5E90-DCCE-BC42-BD9B-072BDAE6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32C"/>
    <w:pPr>
      <w:tabs>
        <w:tab w:val="center" w:pos="4680"/>
        <w:tab w:val="right" w:pos="9360"/>
      </w:tabs>
    </w:pPr>
  </w:style>
  <w:style w:type="character" w:customStyle="1" w:styleId="HeaderChar">
    <w:name w:val="Header Char"/>
    <w:basedOn w:val="DefaultParagraphFont"/>
    <w:link w:val="Header"/>
    <w:uiPriority w:val="99"/>
    <w:rsid w:val="002D632C"/>
  </w:style>
  <w:style w:type="paragraph" w:styleId="Footer">
    <w:name w:val="footer"/>
    <w:basedOn w:val="Normal"/>
    <w:link w:val="FooterChar"/>
    <w:uiPriority w:val="99"/>
    <w:unhideWhenUsed/>
    <w:rsid w:val="002D632C"/>
    <w:pPr>
      <w:tabs>
        <w:tab w:val="center" w:pos="4680"/>
        <w:tab w:val="right" w:pos="9360"/>
      </w:tabs>
    </w:pPr>
  </w:style>
  <w:style w:type="character" w:customStyle="1" w:styleId="FooterChar">
    <w:name w:val="Footer Char"/>
    <w:basedOn w:val="DefaultParagraphFont"/>
    <w:link w:val="Footer"/>
    <w:uiPriority w:val="99"/>
    <w:rsid w:val="002D632C"/>
  </w:style>
  <w:style w:type="paragraph" w:styleId="ListParagraph">
    <w:name w:val="List Paragraph"/>
    <w:basedOn w:val="Normal"/>
    <w:uiPriority w:val="34"/>
    <w:qFormat/>
    <w:rsid w:val="002D632C"/>
    <w:pPr>
      <w:ind w:left="720"/>
      <w:contextualSpacing/>
    </w:pPr>
  </w:style>
  <w:style w:type="character" w:styleId="PageNumber">
    <w:name w:val="page number"/>
    <w:basedOn w:val="DefaultParagraphFont"/>
    <w:uiPriority w:val="99"/>
    <w:semiHidden/>
    <w:unhideWhenUsed/>
    <w:rsid w:val="002D632C"/>
  </w:style>
  <w:style w:type="paragraph" w:styleId="NormalWeb">
    <w:name w:val="Normal (Web)"/>
    <w:basedOn w:val="Normal"/>
    <w:uiPriority w:val="99"/>
    <w:semiHidden/>
    <w:unhideWhenUsed/>
    <w:rsid w:val="0094089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Jensen</dc:creator>
  <cp:keywords/>
  <dc:description/>
  <cp:lastModifiedBy>Nancy Warring</cp:lastModifiedBy>
  <cp:revision>2</cp:revision>
  <cp:lastPrinted>2023-02-09T18:59:00Z</cp:lastPrinted>
  <dcterms:created xsi:type="dcterms:W3CDTF">2025-01-27T19:39:00Z</dcterms:created>
  <dcterms:modified xsi:type="dcterms:W3CDTF">2025-01-27T19:39:00Z</dcterms:modified>
</cp:coreProperties>
</file>